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B18C" w14:textId="77777777" w:rsidR="001703C9" w:rsidRPr="00B21F92" w:rsidRDefault="001703C9" w:rsidP="001703C9">
      <w:pPr>
        <w:pStyle w:val="Otsikko2"/>
      </w:pPr>
      <w:bookmarkStart w:id="0" w:name="_Toc154055811"/>
      <w:r w:rsidRPr="00B21F92">
        <w:t>6.</w:t>
      </w:r>
      <w:r>
        <w:t>1</w:t>
      </w:r>
      <w:r w:rsidRPr="00B21F92">
        <w:t xml:space="preserve"> </w:t>
      </w:r>
      <w:r w:rsidRPr="004D3032">
        <w:rPr>
          <w:i/>
        </w:rPr>
        <w:t xml:space="preserve">L. </w:t>
      </w:r>
      <w:proofErr w:type="spellStart"/>
      <w:r w:rsidRPr="004D3032">
        <w:rPr>
          <w:i/>
        </w:rPr>
        <w:t>monocytogenes</w:t>
      </w:r>
      <w:proofErr w:type="spellEnd"/>
      <w:r w:rsidRPr="00B21F92">
        <w:t xml:space="preserve"> sellaisenaan syötävissä elintarvikkeissa</w:t>
      </w:r>
      <w:bookmarkEnd w:id="0"/>
    </w:p>
    <w:p w14:paraId="54982CF0" w14:textId="4FE5E584" w:rsidR="001703C9" w:rsidRDefault="001703C9" w:rsidP="001703C9">
      <w:pPr>
        <w:pStyle w:val="Asiatekstileipteksti"/>
        <w:spacing w:after="240"/>
      </w:pPr>
      <w:r w:rsidRPr="00B21F92">
        <w:rPr>
          <w:i/>
        </w:rPr>
        <w:t>L.</w:t>
      </w:r>
      <w:r>
        <w:rPr>
          <w:i/>
        </w:rPr>
        <w:t> </w:t>
      </w:r>
      <w:proofErr w:type="spellStart"/>
      <w:r w:rsidRPr="00B21F92">
        <w:rPr>
          <w:i/>
        </w:rPr>
        <w:t>monocytogenes</w:t>
      </w:r>
      <w:proofErr w:type="spellEnd"/>
      <w:r w:rsidRPr="00B21F92">
        <w:rPr>
          <w:i/>
        </w:rPr>
        <w:t xml:space="preserve"> -</w:t>
      </w:r>
      <w:r w:rsidRPr="00B21F92">
        <w:t>vaatimu</w:t>
      </w:r>
      <w:r>
        <w:t xml:space="preserve">s koskee </w:t>
      </w:r>
      <w:r w:rsidRPr="00B21F92">
        <w:t>sellaisenaan syötäviä elintarvikkei</w:t>
      </w:r>
      <w:r>
        <w:t>t</w:t>
      </w:r>
      <w:r w:rsidRPr="00B21F92">
        <w:t>a</w:t>
      </w:r>
      <w:r>
        <w:t xml:space="preserve"> (katso määritelmät-kappale).</w:t>
      </w:r>
      <w:r w:rsidRPr="00B21F92">
        <w:t xml:space="preserve"> </w:t>
      </w:r>
      <w:r>
        <w:t xml:space="preserve">Sellaisenaan syötäväksi elintarvikkeeksi ei kuitenkaan katsota elintarviketta, jonka pakkausmerkinnöissä on selkeä </w:t>
      </w:r>
      <w:proofErr w:type="spellStart"/>
      <w:r>
        <w:t>listerian</w:t>
      </w:r>
      <w:proofErr w:type="spellEnd"/>
      <w:r>
        <w:t xml:space="preserve"> tuhoava kuumennuskehotus, kuten</w:t>
      </w:r>
      <w:r>
        <w:t xml:space="preserve"> esimerkiksi</w:t>
      </w:r>
      <w:r>
        <w:t xml:space="preserve"> ”kuumennetaan kiehuvan kuumaksi”</w:t>
      </w:r>
      <w:r>
        <w:t xml:space="preserve"> tai </w:t>
      </w:r>
      <w:r>
        <w:t>”kuumenna vähintään 72 C lämpötilaan minuutin ajan”.</w:t>
      </w:r>
    </w:p>
    <w:p w14:paraId="6D00CE4C" w14:textId="77777777" w:rsidR="001703C9" w:rsidRPr="00B21F92" w:rsidRDefault="001703C9" w:rsidP="001703C9">
      <w:pPr>
        <w:pStyle w:val="Asiatekstileipteksti"/>
        <w:spacing w:after="240"/>
      </w:pPr>
      <w:r w:rsidRPr="00B21F92">
        <w:rPr>
          <w:i/>
        </w:rPr>
        <w:t>L.</w:t>
      </w:r>
      <w:r>
        <w:rPr>
          <w:i/>
        </w:rPr>
        <w:t> </w:t>
      </w:r>
      <w:proofErr w:type="spellStart"/>
      <w:r w:rsidRPr="00B21F92">
        <w:rPr>
          <w:i/>
        </w:rPr>
        <w:t>monocytogenes</w:t>
      </w:r>
      <w:proofErr w:type="spellEnd"/>
      <w:r w:rsidRPr="00B21F92">
        <w:rPr>
          <w:i/>
        </w:rPr>
        <w:t xml:space="preserve"> -</w:t>
      </w:r>
      <w:r w:rsidRPr="00B21F92">
        <w:t xml:space="preserve"> vaatimukset koskevat kaikkia liitteissä mainittuja toimialoja.</w:t>
      </w:r>
      <w:r>
        <w:t xml:space="preserve"> </w:t>
      </w:r>
      <w:r w:rsidRPr="00B21F92">
        <w:t>Lisäksi jokaisen liitteen alussa on kyseistä toimialaa koskevia erityisiä ohjeita näytteenotosta ja tutkimuksista.</w:t>
      </w:r>
    </w:p>
    <w:p w14:paraId="52F73504" w14:textId="77777777" w:rsidR="001703C9" w:rsidRDefault="001703C9" w:rsidP="001703C9">
      <w:pPr>
        <w:pStyle w:val="Asiatekstileipteksti"/>
        <w:spacing w:after="240"/>
      </w:pPr>
      <w:r w:rsidRPr="00B21F92">
        <w:t xml:space="preserve">Mikrobikriteeriasetuksessa jaetaan sellaisenaan syötävät elintarvikkeet kolmeen luokkaan </w:t>
      </w:r>
      <w:r w:rsidRPr="00B21F92">
        <w:rPr>
          <w:i/>
        </w:rPr>
        <w:t>L.</w:t>
      </w:r>
      <w:r>
        <w:rPr>
          <w:i/>
        </w:rPr>
        <w:t> </w:t>
      </w:r>
      <w:proofErr w:type="spellStart"/>
      <w:r w:rsidRPr="00B21F92">
        <w:rPr>
          <w:i/>
        </w:rPr>
        <w:t>monocytogenes</w:t>
      </w:r>
      <w:proofErr w:type="spellEnd"/>
      <w:r w:rsidRPr="00B21F92">
        <w:rPr>
          <w:i/>
        </w:rPr>
        <w:t xml:space="preserve"> </w:t>
      </w:r>
      <w:r w:rsidRPr="00B21F92">
        <w:t xml:space="preserve">-vaatimusten suhteen. Seuraavassa on tarkasteltu näitä kolmea elintarvikeluokkaa sekä </w:t>
      </w:r>
      <w:proofErr w:type="spellStart"/>
      <w:r w:rsidRPr="00B21F92">
        <w:t>listeriaseurantaa</w:t>
      </w:r>
      <w:proofErr w:type="spellEnd"/>
      <w:r w:rsidRPr="00B21F92">
        <w:t xml:space="preserve"> tuotantoympäristöstä ja -laitteista.</w:t>
      </w:r>
    </w:p>
    <w:p w14:paraId="3974DC15" w14:textId="77777777" w:rsidR="001703C9" w:rsidRPr="00B21F92" w:rsidRDefault="001703C9" w:rsidP="001703C9">
      <w:pPr>
        <w:pStyle w:val="Otsikko3"/>
      </w:pPr>
      <w:bookmarkStart w:id="1" w:name="_Toc154055813"/>
      <w:r>
        <w:t>6</w:t>
      </w:r>
      <w:r w:rsidRPr="00B21F92">
        <w:t xml:space="preserve">.1.2 Elintarvikkeet, joissa </w:t>
      </w:r>
      <w:r w:rsidRPr="00F16330">
        <w:rPr>
          <w:i/>
          <w:iCs/>
        </w:rPr>
        <w:t xml:space="preserve">L. </w:t>
      </w:r>
      <w:proofErr w:type="spellStart"/>
      <w:r w:rsidRPr="00F16330">
        <w:rPr>
          <w:i/>
          <w:iCs/>
        </w:rPr>
        <w:t>monocytogenes</w:t>
      </w:r>
      <w:proofErr w:type="spellEnd"/>
      <w:r w:rsidRPr="00B21F92">
        <w:t xml:space="preserve"> voi kasvaa</w:t>
      </w:r>
      <w:bookmarkEnd w:id="1"/>
    </w:p>
    <w:p w14:paraId="532BDA15" w14:textId="77777777" w:rsidR="001703C9" w:rsidRPr="00B21F92" w:rsidRDefault="001703C9" w:rsidP="001703C9">
      <w:pPr>
        <w:pStyle w:val="Asiatekstileipteksti"/>
        <w:spacing w:after="240"/>
      </w:pPr>
      <w:r w:rsidRPr="00B21F92">
        <w:t>(Mikrobikriteeriasetus, liite I, luku 1, elintarvikeluokka 1.2)</w:t>
      </w:r>
    </w:p>
    <w:p w14:paraId="545A4A45" w14:textId="77777777" w:rsidR="001703C9" w:rsidRDefault="001703C9" w:rsidP="001703C9">
      <w:pPr>
        <w:pStyle w:val="Asiatekstileipteksti"/>
        <w:spacing w:after="240"/>
      </w:pPr>
      <w:r w:rsidRPr="00B21F92">
        <w:t xml:space="preserve">Sellaisenaan syötävissä elintarvikkeissa, joissa </w:t>
      </w:r>
      <w:r w:rsidRPr="00B21F92">
        <w:rPr>
          <w:i/>
        </w:rPr>
        <w:t>L.</w:t>
      </w:r>
      <w:r>
        <w:rPr>
          <w:i/>
        </w:rPr>
        <w:t> </w:t>
      </w:r>
      <w:proofErr w:type="spellStart"/>
      <w:r w:rsidRPr="00B21F92">
        <w:rPr>
          <w:i/>
        </w:rPr>
        <w:t>monocytogenes</w:t>
      </w:r>
      <w:proofErr w:type="spellEnd"/>
      <w:r w:rsidRPr="00B21F92">
        <w:rPr>
          <w:i/>
        </w:rPr>
        <w:t xml:space="preserve"> </w:t>
      </w:r>
      <w:r w:rsidRPr="00B21F92">
        <w:t xml:space="preserve">voi kasvaa, voidaan sallia pitoisuus 100 </w:t>
      </w:r>
      <w:proofErr w:type="spellStart"/>
      <w:r w:rsidRPr="00B21F92">
        <w:t>pmy</w:t>
      </w:r>
      <w:proofErr w:type="spellEnd"/>
      <w:r w:rsidRPr="00B21F92">
        <w:t>/g sillä edellytyksellä, että</w:t>
      </w:r>
      <w:r>
        <w:t xml:space="preserve"> elintarvikkeen valmistaja</w:t>
      </w:r>
      <w:r w:rsidRPr="00B21F92">
        <w:t xml:space="preserve"> pystyy luotettavasti osoittamaan valvontaviranomaiselle, ettei pitoisuus 100 </w:t>
      </w:r>
      <w:proofErr w:type="spellStart"/>
      <w:r w:rsidRPr="00B21F92">
        <w:t>pmy</w:t>
      </w:r>
      <w:proofErr w:type="spellEnd"/>
      <w:r w:rsidRPr="00B21F92">
        <w:t xml:space="preserve">/g ylity myyntiaikana. Jos toimija ei pysty luotettavasti osoittamaan tätä asetuksen liitteen II mukaisin </w:t>
      </w:r>
      <w:r>
        <w:t>säilyvyys</w:t>
      </w:r>
      <w:r w:rsidRPr="00B21F92">
        <w:t>tutkimuksin</w:t>
      </w:r>
      <w:r>
        <w:t xml:space="preserve"> (ks. kappale 8.3 </w:t>
      </w:r>
      <w:r w:rsidRPr="000F3C73">
        <w:rPr>
          <w:i/>
          <w:iCs/>
        </w:rPr>
        <w:t xml:space="preserve">Listeria </w:t>
      </w:r>
      <w:proofErr w:type="spellStart"/>
      <w:r w:rsidRPr="000F3C73">
        <w:rPr>
          <w:i/>
          <w:iCs/>
        </w:rPr>
        <w:t>monocytogenes</w:t>
      </w:r>
      <w:proofErr w:type="spellEnd"/>
      <w:r w:rsidRPr="000F3C73">
        <w:t xml:space="preserve"> säilyvyystutkimukset</w:t>
      </w:r>
      <w:r>
        <w:t>)</w:t>
      </w:r>
      <w:r w:rsidRPr="00B21F92">
        <w:t xml:space="preserve">, sovelletaan tiukempaa vaatimusta eli raja-arvo on tällöin </w:t>
      </w:r>
      <w:r w:rsidRPr="00B21F92">
        <w:rPr>
          <w:b/>
        </w:rPr>
        <w:t>ei todettu/25 g</w:t>
      </w:r>
      <w:r>
        <w:t xml:space="preserve"> myyntiajan loppuun asti. </w:t>
      </w:r>
      <w:proofErr w:type="spellStart"/>
      <w:r>
        <w:t>Listerianäytteet</w:t>
      </w:r>
      <w:proofErr w:type="spellEnd"/>
      <w:r>
        <w:t xml:space="preserve"> tutkitaan heti valmistuksen jälkeen, jolloin tieto mahdollisesti </w:t>
      </w:r>
      <w:proofErr w:type="spellStart"/>
      <w:r>
        <w:t>listerialla</w:t>
      </w:r>
      <w:proofErr w:type="spellEnd"/>
      <w:r>
        <w:t xml:space="preserve"> saastuneista elintarvikkeista saadaan nopeammin.</w:t>
      </w:r>
    </w:p>
    <w:p w14:paraId="26E00F76" w14:textId="77777777" w:rsidR="001703C9" w:rsidRPr="00B21F92" w:rsidRDefault="001703C9" w:rsidP="001703C9">
      <w:pPr>
        <w:pStyle w:val="Asiatekstileipteksti"/>
        <w:spacing w:after="240"/>
      </w:pPr>
      <w:r>
        <w:t xml:space="preserve">Elintarvikkeisiin, </w:t>
      </w:r>
      <w:r w:rsidRPr="00376574">
        <w:t xml:space="preserve">joissa </w:t>
      </w:r>
      <w:r w:rsidRPr="00376574">
        <w:rPr>
          <w:i/>
        </w:rPr>
        <w:t>L.</w:t>
      </w:r>
      <w:r>
        <w:rPr>
          <w:i/>
        </w:rPr>
        <w:t> </w:t>
      </w:r>
      <w:proofErr w:type="spellStart"/>
      <w:r w:rsidRPr="00376574">
        <w:rPr>
          <w:i/>
        </w:rPr>
        <w:t>monocytogenes</w:t>
      </w:r>
      <w:proofErr w:type="spellEnd"/>
      <w:r w:rsidRPr="00376574">
        <w:t xml:space="preserve"> voi kasvaa, </w:t>
      </w:r>
      <w:r>
        <w:t xml:space="preserve">mutta joita säilytetään </w:t>
      </w:r>
      <w:r w:rsidRPr="00376574">
        <w:t>alle 5 vrk</w:t>
      </w:r>
      <w:r>
        <w:t>,</w:t>
      </w:r>
      <w:r w:rsidRPr="00376574">
        <w:t xml:space="preserve"> </w:t>
      </w:r>
      <w:r>
        <w:t>sovelletaan elintarvikeluokan 1.3 (ei kasva) vaatimuksia.</w:t>
      </w:r>
      <w:r w:rsidRPr="00376574">
        <w:t xml:space="preserve"> </w:t>
      </w:r>
    </w:p>
    <w:p w14:paraId="7CBDE5E6" w14:textId="77777777" w:rsidR="001703C9" w:rsidRPr="00B21F92" w:rsidRDefault="001703C9" w:rsidP="001703C9">
      <w:pPr>
        <w:pStyle w:val="Asiatekstileipteksti"/>
        <w:spacing w:after="240"/>
      </w:pPr>
      <w:r w:rsidRPr="00B21F92">
        <w:t xml:space="preserve">Tämän ryhmän tuotteisiin voi liittyä </w:t>
      </w:r>
      <w:r w:rsidRPr="00B21F92">
        <w:rPr>
          <w:b/>
        </w:rPr>
        <w:t>merkittävä</w:t>
      </w:r>
      <w:r w:rsidRPr="00B21F92">
        <w:t xml:space="preserve"> tai </w:t>
      </w:r>
      <w:r w:rsidRPr="00B21F92">
        <w:rPr>
          <w:b/>
        </w:rPr>
        <w:t>kohtalainen</w:t>
      </w:r>
      <w:r w:rsidRPr="00B21F92">
        <w:t xml:space="preserve"> </w:t>
      </w:r>
      <w:proofErr w:type="spellStart"/>
      <w:r w:rsidRPr="00B21F92">
        <w:t>listeriariski</w:t>
      </w:r>
      <w:proofErr w:type="spellEnd"/>
      <w:r w:rsidRPr="00B21F92">
        <w:t xml:space="preserve">. Merkittävän riskin tuotteet ovat sellaisia, jotka ovat läpikäyneet lämpökäsittelyn, mutta voivat </w:t>
      </w:r>
      <w:proofErr w:type="spellStart"/>
      <w:r w:rsidRPr="00B21F92">
        <w:t>jälkisaastua</w:t>
      </w:r>
      <w:proofErr w:type="spellEnd"/>
      <w:r w:rsidRPr="00B21F92">
        <w:t xml:space="preserve">, jos niitä käsitellään esim. puutteellisesti puhdistetulla siivutuskoneella. Myös pakkaustavalla on merkitystä ja siksi esimerkiksi tyhjiöpakattu, siivutettu lihaleikkele voi olla merkittävän riskin tuote varsinkin, jos myyntiaika on pitkä. Myös kalajalosteet, joita ei lämpökäsitellä, kuten esim. tyhjiöpakatut, siivutetut kylmäsavustetut tai graavisuolatut kalajalosteet ovat merkittävän riskin tuotteita. </w:t>
      </w:r>
      <w:proofErr w:type="spellStart"/>
      <w:r w:rsidRPr="00B21F92">
        <w:t>Listeriariskin</w:t>
      </w:r>
      <w:proofErr w:type="spellEnd"/>
      <w:r w:rsidRPr="00B21F92">
        <w:t xml:space="preserve"> pienentämiseksi </w:t>
      </w:r>
      <w:r>
        <w:t>Ruokavirasto</w:t>
      </w:r>
      <w:r w:rsidRPr="00B21F92">
        <w:t xml:space="preserve"> suosittelee kylmäsavustettujen ja graavisuolattujen kalajalosteiden enimmäismyyntiajaksi </w:t>
      </w:r>
      <w:r>
        <w:t>enintään 14 vrk</w:t>
      </w:r>
      <w:r w:rsidRPr="00B21F92">
        <w:t xml:space="preserve">. Kohtalaisen </w:t>
      </w:r>
      <w:proofErr w:type="spellStart"/>
      <w:r w:rsidRPr="00B21F92">
        <w:t>listeriariskin</w:t>
      </w:r>
      <w:proofErr w:type="spellEnd"/>
      <w:r w:rsidRPr="00B21F92">
        <w:t xml:space="preserve"> tuotteita ovat esimerkiksi kypsät lihapyörykät, jotka on lämpökäsitelty, mutta joita ei sen jälkeen käsitellä muuten kuin pakkaamalla hygieenisesti.</w:t>
      </w:r>
    </w:p>
    <w:p w14:paraId="32E7CB5C" w14:textId="77777777" w:rsidR="001703C9" w:rsidRPr="00B21F92" w:rsidRDefault="001703C9" w:rsidP="001703C9">
      <w:pPr>
        <w:pStyle w:val="Otsikko2"/>
      </w:pPr>
      <w:bookmarkStart w:id="2" w:name="_Toc500505487"/>
      <w:bookmarkStart w:id="3" w:name="_Toc154055829"/>
      <w:r w:rsidRPr="002D00EA">
        <w:lastRenderedPageBreak/>
        <w:t>8.3</w:t>
      </w:r>
      <w:r w:rsidRPr="00B21F92">
        <w:t xml:space="preserve"> </w:t>
      </w:r>
      <w:r w:rsidRPr="001162E5">
        <w:rPr>
          <w:i/>
        </w:rPr>
        <w:t xml:space="preserve">Listeria </w:t>
      </w:r>
      <w:proofErr w:type="spellStart"/>
      <w:r w:rsidRPr="001162E5">
        <w:rPr>
          <w:i/>
        </w:rPr>
        <w:t>monocytogenes</w:t>
      </w:r>
      <w:proofErr w:type="spellEnd"/>
      <w:r w:rsidRPr="00B21F92">
        <w:t xml:space="preserve"> säilyvyystutkimukset</w:t>
      </w:r>
      <w:bookmarkEnd w:id="2"/>
      <w:bookmarkEnd w:id="3"/>
    </w:p>
    <w:p w14:paraId="017155AD" w14:textId="77777777" w:rsidR="001703C9" w:rsidRPr="00B21F92" w:rsidRDefault="001703C9" w:rsidP="001703C9">
      <w:pPr>
        <w:pStyle w:val="Asiatekstileipteksti"/>
        <w:spacing w:after="240"/>
      </w:pPr>
      <w:r>
        <w:t>Elintarvikkeet</w:t>
      </w:r>
      <w:r w:rsidRPr="00B21F92">
        <w:t xml:space="preserve"> luokitellaan kahteen ryhmään sen mukaisesti, pystyykö listeria kasvamaan tuotteessa vai ei.</w:t>
      </w:r>
      <w:r>
        <w:t xml:space="preserve"> Säilyvyys</w:t>
      </w:r>
      <w:r w:rsidRPr="00B21F92">
        <w:t>tutkimustarve koskee erityisesti sellaisenaa</w:t>
      </w:r>
      <w:r>
        <w:t>n</w:t>
      </w:r>
      <w:r w:rsidRPr="00B21F92">
        <w:t xml:space="preserve"> syötäviä elintarvikkei</w:t>
      </w:r>
      <w:r>
        <w:t>t</w:t>
      </w:r>
      <w:r w:rsidRPr="00B21F92">
        <w:t xml:space="preserve">a, joissa listeria pystyy kasvamaan myyntiaikana. </w:t>
      </w:r>
      <w:proofErr w:type="spellStart"/>
      <w:r w:rsidRPr="00B21F92">
        <w:t>Listerian</w:t>
      </w:r>
      <w:proofErr w:type="spellEnd"/>
      <w:r w:rsidRPr="00B21F92">
        <w:t xml:space="preserve"> kasvumahdollisuuksia </w:t>
      </w:r>
      <w:r>
        <w:t>näissä</w:t>
      </w:r>
      <w:r w:rsidRPr="00B21F92">
        <w:t xml:space="preserve"> elintarvikkeissa on joissakin tapauksissa välttämätöntä tutkia </w:t>
      </w:r>
      <w:r>
        <w:t>t</w:t>
      </w:r>
      <w:r w:rsidRPr="00B21F92">
        <w:t>urvallisen myyntiajan määrittelemisen tueksi</w:t>
      </w:r>
      <w:r>
        <w:t>.</w:t>
      </w:r>
      <w:r w:rsidRPr="00B21F92">
        <w:t xml:space="preserve"> </w:t>
      </w:r>
    </w:p>
    <w:p w14:paraId="73F08BBC" w14:textId="77777777" w:rsidR="001703C9" w:rsidRDefault="001703C9" w:rsidP="001703C9">
      <w:pPr>
        <w:pStyle w:val="Asiatekstileipteksti"/>
        <w:spacing w:after="240"/>
      </w:pPr>
      <w:r w:rsidRPr="00B21F92">
        <w:t xml:space="preserve">Tuotteiden, joiden pH on ≤ 4,4 tai </w:t>
      </w:r>
      <w:proofErr w:type="spellStart"/>
      <w:r w:rsidRPr="00B21F92">
        <w:t>a</w:t>
      </w:r>
      <w:r w:rsidRPr="00B21F92">
        <w:rPr>
          <w:vertAlign w:val="subscript"/>
        </w:rPr>
        <w:t>w</w:t>
      </w:r>
      <w:proofErr w:type="spellEnd"/>
      <w:r w:rsidRPr="00B21F92">
        <w:t xml:space="preserve"> ≤ 0,92 tai tuotteiden, joiden pH on ≤ 5,0 ja </w:t>
      </w:r>
      <w:proofErr w:type="spellStart"/>
      <w:r w:rsidRPr="00B21F92">
        <w:t>a</w:t>
      </w:r>
      <w:r w:rsidRPr="00B21F92">
        <w:rPr>
          <w:vertAlign w:val="subscript"/>
        </w:rPr>
        <w:t>w</w:t>
      </w:r>
      <w:proofErr w:type="spellEnd"/>
      <w:r w:rsidRPr="00B21F92">
        <w:t xml:space="preserve"> ≤ 0,94, pakastettujen </w:t>
      </w:r>
      <w:r>
        <w:t xml:space="preserve">tai jäädytettyjen </w:t>
      </w:r>
      <w:r w:rsidRPr="00B21F92">
        <w:t xml:space="preserve">tuotteiden ja tuotteiden, joiden myyntiaika on alle 5 vrk, katsotaan automaattisesti kuuluvan luokkaan, jossa </w:t>
      </w:r>
      <w:r w:rsidRPr="00B21F92">
        <w:rPr>
          <w:i/>
        </w:rPr>
        <w:t>L.</w:t>
      </w:r>
      <w:r>
        <w:rPr>
          <w:i/>
        </w:rPr>
        <w:t> </w:t>
      </w:r>
      <w:proofErr w:type="spellStart"/>
      <w:r w:rsidRPr="00B21F92">
        <w:rPr>
          <w:i/>
        </w:rPr>
        <w:t>monocytogenes</w:t>
      </w:r>
      <w:proofErr w:type="spellEnd"/>
      <w:r w:rsidRPr="00B21F92">
        <w:t xml:space="preserve"> ei pysty kasvamaan. Myös muut tuotteet voivat kuulua tähän luokkaan, jos se on tieteellisesti perusteltua. Näille tuotteille ei ole tarpeen tehdä </w:t>
      </w:r>
      <w:proofErr w:type="spellStart"/>
      <w:r w:rsidRPr="00B21F92">
        <w:t>listeriasäilyvvys</w:t>
      </w:r>
      <w:r>
        <w:t>tutkimuksia</w:t>
      </w:r>
      <w:proofErr w:type="spellEnd"/>
      <w:r w:rsidRPr="00B21F92">
        <w:t>.</w:t>
      </w:r>
    </w:p>
    <w:p w14:paraId="6E2DACD9" w14:textId="77777777" w:rsidR="001703C9" w:rsidRPr="00B21F92" w:rsidRDefault="001703C9" w:rsidP="001703C9">
      <w:pPr>
        <w:pStyle w:val="Asiatekstileipteksti"/>
        <w:spacing w:after="240"/>
        <w:rPr>
          <w:i/>
        </w:rPr>
      </w:pPr>
      <w:bookmarkStart w:id="4" w:name="_Hlk146289473"/>
      <w:r w:rsidRPr="00C31EB9">
        <w:rPr>
          <w:color w:val="auto"/>
        </w:rPr>
        <w:t xml:space="preserve">Säilyvyystutkimuksia tulisi kuitenkin tehdä sellaisille tuotteille, joiden yhden tai useamman raaka-aineen (komponentin) kokonaismyyntiaika ylittää 4 vuorokautta. </w:t>
      </w:r>
      <w:r w:rsidRPr="00C31EB9">
        <w:t>Tällainen tuote on esimerkiksi</w:t>
      </w:r>
      <w:r>
        <w:t xml:space="preserve"> valmiiksi</w:t>
      </w:r>
      <w:r w:rsidRPr="00C31EB9">
        <w:t xml:space="preserve"> paloiteltuja tai kypsennettyjä vihanneksia</w:t>
      </w:r>
      <w:r>
        <w:t xml:space="preserve"> tai kypsää kanaa</w:t>
      </w:r>
      <w:r w:rsidRPr="00C31EB9">
        <w:t xml:space="preserve"> sisältävä salaatti, jo</w:t>
      </w:r>
      <w:r>
        <w:t>nka</w:t>
      </w:r>
      <w:r w:rsidRPr="00C31EB9">
        <w:t xml:space="preserve"> </w:t>
      </w:r>
      <w:r>
        <w:t xml:space="preserve">komponentteja ei käsitellä säilyvyyden parantamiseksi (esimerkiksi kypsennys) vaan ainesosat ainoastaan koostetaan salaatiksi. Jos salaatin myyntiajaksi annetaan 4 vuorokautta, niin silloin </w:t>
      </w:r>
      <w:r w:rsidRPr="00C31EB9">
        <w:t>salaatin valmistushetkellä</w:t>
      </w:r>
      <w:r>
        <w:t xml:space="preserve"> komponenttien myyntiajasta on kulunut</w:t>
      </w:r>
      <w:r w:rsidRPr="00C31EB9">
        <w:t xml:space="preserve"> </w:t>
      </w:r>
      <w:r>
        <w:t xml:space="preserve">jo </w:t>
      </w:r>
      <w:r w:rsidRPr="00C31EB9">
        <w:t xml:space="preserve">1–4 </w:t>
      </w:r>
      <w:r>
        <w:t>vuorokautta</w:t>
      </w:r>
      <w:r w:rsidRPr="00C31EB9">
        <w:t xml:space="preserve"> ja </w:t>
      </w:r>
      <w:r>
        <w:t xml:space="preserve">koostetussa salaatissa niiden kokonaismyyntiaika ylittää </w:t>
      </w:r>
      <w:r w:rsidRPr="00C31EB9">
        <w:t>4 vuorokauden myyntia</w:t>
      </w:r>
      <w:r>
        <w:t>jan</w:t>
      </w:r>
      <w:r w:rsidRPr="00C31EB9">
        <w:t xml:space="preserve">. </w:t>
      </w:r>
    </w:p>
    <w:bookmarkEnd w:id="4"/>
    <w:p w14:paraId="694CE875" w14:textId="77777777" w:rsidR="001703C9" w:rsidRPr="00B21F92" w:rsidRDefault="001703C9" w:rsidP="001703C9">
      <w:pPr>
        <w:pStyle w:val="Asiatekstileipteksti"/>
      </w:pPr>
      <w:r w:rsidRPr="00B21F92">
        <w:t xml:space="preserve">Seuraavia sellaisenaan syötäväksi tarkoitettuja elintarvikkeita ei yleensä ole tarpeen tutkia </w:t>
      </w:r>
      <w:proofErr w:type="spellStart"/>
      <w:r w:rsidRPr="00B21F92">
        <w:t>listerian</w:t>
      </w:r>
      <w:proofErr w:type="spellEnd"/>
      <w:r w:rsidRPr="00B21F92">
        <w:t xml:space="preserve"> varalta säilyvyys</w:t>
      </w:r>
      <w:r>
        <w:t>tutkimuksilla</w:t>
      </w:r>
      <w:r w:rsidRPr="00B21F92">
        <w:t>:</w:t>
      </w:r>
    </w:p>
    <w:p w14:paraId="467EB26F" w14:textId="77777777" w:rsidR="001703C9" w:rsidRPr="00B21F92" w:rsidRDefault="001703C9" w:rsidP="001703C9">
      <w:pPr>
        <w:pStyle w:val="Merkkiluettelo"/>
        <w:tabs>
          <w:tab w:val="clear" w:pos="360"/>
        </w:tabs>
        <w:ind w:hanging="360"/>
      </w:pPr>
      <w:r w:rsidRPr="00687CD3">
        <w:t xml:space="preserve">elintarvikkeet, joille on tehty </w:t>
      </w:r>
      <w:r w:rsidRPr="00687CD3">
        <w:rPr>
          <w:i/>
        </w:rPr>
        <w:t>L.</w:t>
      </w:r>
      <w:r>
        <w:rPr>
          <w:i/>
        </w:rPr>
        <w:t> </w:t>
      </w:r>
      <w:proofErr w:type="spellStart"/>
      <w:r w:rsidRPr="00687CD3">
        <w:rPr>
          <w:i/>
        </w:rPr>
        <w:t>monocytogenes</w:t>
      </w:r>
      <w:proofErr w:type="spellEnd"/>
      <w:r w:rsidRPr="00687CD3">
        <w:t xml:space="preserve"> -bakteerin tuhoava</w:t>
      </w:r>
      <w:r w:rsidRPr="00B21F92">
        <w:t xml:space="preserve"> lämpö- tai muu käsittely, eikä uudelleen saastuminen käsittelyn jälkeen ole mahdollista (esim. lopullisessa pakkaukse</w:t>
      </w:r>
      <w:r>
        <w:t>ssaan lämpökäsitellyt tuotteet)</w:t>
      </w:r>
    </w:p>
    <w:p w14:paraId="059035AD" w14:textId="77777777" w:rsidR="001703C9" w:rsidRPr="00B21F92" w:rsidRDefault="001703C9" w:rsidP="001703C9">
      <w:pPr>
        <w:pStyle w:val="Merkkiluettelo"/>
        <w:tabs>
          <w:tab w:val="clear" w:pos="360"/>
        </w:tabs>
        <w:ind w:hanging="360"/>
      </w:pPr>
      <w:r w:rsidRPr="00B21F92">
        <w:t xml:space="preserve">tuoreet, </w:t>
      </w:r>
      <w:r>
        <w:t>kokonaiset</w:t>
      </w:r>
      <w:r w:rsidRPr="00B21F92">
        <w:t xml:space="preserve"> tai jalostamattomat vihannekset ja hedelmät, </w:t>
      </w:r>
      <w:r>
        <w:br/>
      </w:r>
      <w:r w:rsidRPr="00B21F92">
        <w:t>lukuun ottamatta</w:t>
      </w:r>
      <w:r>
        <w:t xml:space="preserve"> ituja</w:t>
      </w:r>
    </w:p>
    <w:p w14:paraId="0867F02A" w14:textId="77777777" w:rsidR="001703C9" w:rsidRPr="00B21F92" w:rsidRDefault="001703C9" w:rsidP="001703C9">
      <w:pPr>
        <w:pStyle w:val="Merkkiluettelo"/>
        <w:tabs>
          <w:tab w:val="clear" w:pos="360"/>
        </w:tabs>
        <w:ind w:hanging="360"/>
      </w:pPr>
      <w:r w:rsidRPr="00B21F92">
        <w:t>leip</w:t>
      </w:r>
      <w:r>
        <w:t>ä, keksit ja vastaavat tuotteet</w:t>
      </w:r>
    </w:p>
    <w:p w14:paraId="16752538" w14:textId="77777777" w:rsidR="001703C9" w:rsidRPr="00B21F92" w:rsidRDefault="001703C9" w:rsidP="001703C9">
      <w:pPr>
        <w:pStyle w:val="Merkkiluettelo"/>
        <w:tabs>
          <w:tab w:val="clear" w:pos="360"/>
        </w:tabs>
        <w:ind w:hanging="360"/>
      </w:pPr>
      <w:r w:rsidRPr="00B21F92">
        <w:t>pullotettu ta</w:t>
      </w:r>
      <w:r>
        <w:t>i pakattu vesi, virvoitusjuomat</w:t>
      </w:r>
    </w:p>
    <w:p w14:paraId="2721A465" w14:textId="77777777" w:rsidR="001703C9" w:rsidRDefault="001703C9" w:rsidP="001703C9">
      <w:pPr>
        <w:pStyle w:val="Merkkiluettelo"/>
        <w:tabs>
          <w:tab w:val="clear" w:pos="360"/>
        </w:tabs>
        <w:ind w:hanging="360"/>
      </w:pPr>
      <w:r w:rsidRPr="001635CA">
        <w:t>sokeri, hunaja ja makeiset, mukaan luettuna kaakao- ja suklaatuotteet</w:t>
      </w:r>
    </w:p>
    <w:p w14:paraId="50AC825E" w14:textId="77777777" w:rsidR="001703C9" w:rsidRDefault="001703C9" w:rsidP="001703C9">
      <w:pPr>
        <w:pStyle w:val="Merkkiluettelo"/>
        <w:tabs>
          <w:tab w:val="clear" w:pos="360"/>
        </w:tabs>
        <w:spacing w:after="240"/>
        <w:ind w:left="2381" w:hanging="357"/>
      </w:pPr>
      <w:r w:rsidRPr="001635CA">
        <w:t>elävät simpukat.</w:t>
      </w:r>
    </w:p>
    <w:p w14:paraId="05123B86" w14:textId="77777777" w:rsidR="001703C9" w:rsidRPr="008841F5" w:rsidRDefault="001703C9" w:rsidP="001703C9">
      <w:pPr>
        <w:pStyle w:val="Asiatekstileipteksti"/>
      </w:pPr>
      <w:r w:rsidRPr="00B21F92">
        <w:t xml:space="preserve">Yksityiskohtaisia ohjeita </w:t>
      </w:r>
      <w:proofErr w:type="spellStart"/>
      <w:r w:rsidRPr="00B21F92">
        <w:t>listerian</w:t>
      </w:r>
      <w:proofErr w:type="spellEnd"/>
      <w:r w:rsidRPr="00B21F92">
        <w:t xml:space="preserve"> säilyvyystutkimuksista annetaan seuraavissa komission ohjeissa, joista ensimmäinen on suunnattu toimijoille ja toinen </w:t>
      </w:r>
      <w:r w:rsidRPr="008841F5">
        <w:t>laboratorioille:</w:t>
      </w:r>
    </w:p>
    <w:p w14:paraId="27824252" w14:textId="77777777" w:rsidR="001703C9" w:rsidRPr="008841F5" w:rsidRDefault="001703C9" w:rsidP="001703C9">
      <w:pPr>
        <w:pStyle w:val="Merkkiluettelo"/>
        <w:tabs>
          <w:tab w:val="clear" w:pos="360"/>
        </w:tabs>
        <w:ind w:hanging="360"/>
        <w:rPr>
          <w:lang w:val="en-US"/>
        </w:rPr>
      </w:pPr>
      <w:hyperlink r:id="rId5" w:history="1">
        <w:r>
          <w:rPr>
            <w:rStyle w:val="Hyperlinkki"/>
            <w:lang w:val="en-US"/>
          </w:rPr>
          <w:t>Guidance document</w:t>
        </w:r>
      </w:hyperlink>
      <w:r w:rsidRPr="008841F5">
        <w:rPr>
          <w:lang w:val="en-US"/>
        </w:rPr>
        <w:t xml:space="preserve"> on </w:t>
      </w:r>
      <w:r w:rsidRPr="00544504">
        <w:rPr>
          <w:i/>
          <w:iCs/>
          <w:lang w:val="en-US"/>
        </w:rPr>
        <w:t>Listeria monocytogenes</w:t>
      </w:r>
      <w:r w:rsidRPr="008841F5">
        <w:rPr>
          <w:lang w:val="en-US"/>
        </w:rPr>
        <w:t xml:space="preserve"> </w:t>
      </w:r>
      <w:r>
        <w:rPr>
          <w:lang w:val="en-US"/>
        </w:rPr>
        <w:t xml:space="preserve">monitoring and </w:t>
      </w:r>
      <w:r w:rsidRPr="008841F5">
        <w:rPr>
          <w:lang w:val="en-US"/>
        </w:rPr>
        <w:t>shelf-life studies for ready-to-eat foods under Regulation (EC) No 2073/2005 of 15 November 2005 on microbiological criteria for foodstuffs.</w:t>
      </w:r>
    </w:p>
    <w:p w14:paraId="4B3717EF" w14:textId="77777777" w:rsidR="001703C9" w:rsidRPr="008841F5" w:rsidRDefault="001703C9" w:rsidP="001703C9">
      <w:pPr>
        <w:pStyle w:val="Merkkiluettelo"/>
        <w:tabs>
          <w:tab w:val="clear" w:pos="360"/>
        </w:tabs>
        <w:ind w:hanging="360"/>
        <w:rPr>
          <w:lang w:val="en-US"/>
        </w:rPr>
      </w:pPr>
      <w:hyperlink r:id="rId6" w:history="1">
        <w:r>
          <w:rPr>
            <w:rStyle w:val="Hyperlinkki"/>
            <w:lang w:val="en-US"/>
          </w:rPr>
          <w:t>Technical guidance document</w:t>
        </w:r>
      </w:hyperlink>
      <w:r w:rsidRPr="008841F5">
        <w:rPr>
          <w:lang w:val="en-US"/>
        </w:rPr>
        <w:t xml:space="preserve"> </w:t>
      </w:r>
      <w:r>
        <w:rPr>
          <w:lang w:val="en-US"/>
        </w:rPr>
        <w:t>on challenge tests and durability studies for assessing</w:t>
      </w:r>
      <w:r w:rsidRPr="008841F5">
        <w:rPr>
          <w:lang w:val="en-US"/>
        </w:rPr>
        <w:t xml:space="preserve"> shelf-life </w:t>
      </w:r>
      <w:r>
        <w:rPr>
          <w:lang w:val="en-US"/>
        </w:rPr>
        <w:t>of ready-to-eat food</w:t>
      </w:r>
      <w:r w:rsidRPr="008841F5">
        <w:rPr>
          <w:lang w:val="en-US"/>
        </w:rPr>
        <w:t>s</w:t>
      </w:r>
      <w:r>
        <w:rPr>
          <w:lang w:val="en-US"/>
        </w:rPr>
        <w:t xml:space="preserve"> related</w:t>
      </w:r>
      <w:r w:rsidRPr="008841F5">
        <w:rPr>
          <w:lang w:val="en-US"/>
        </w:rPr>
        <w:t xml:space="preserve"> </w:t>
      </w:r>
      <w:r>
        <w:rPr>
          <w:lang w:val="en-US"/>
        </w:rPr>
        <w:t>to</w:t>
      </w:r>
      <w:r w:rsidRPr="008841F5">
        <w:rPr>
          <w:lang w:val="en-US"/>
        </w:rPr>
        <w:t xml:space="preserve"> </w:t>
      </w:r>
      <w:r w:rsidRPr="00561B49">
        <w:rPr>
          <w:i/>
          <w:iCs/>
          <w:lang w:val="en-US"/>
        </w:rPr>
        <w:t>Listeria monocytogenes</w:t>
      </w:r>
      <w:r w:rsidRPr="008841F5">
        <w:rPr>
          <w:lang w:val="en-US"/>
        </w:rPr>
        <w:t xml:space="preserve"> </w:t>
      </w:r>
      <w:proofErr w:type="spellStart"/>
      <w:r w:rsidRPr="008841F5">
        <w:rPr>
          <w:lang w:val="en-US"/>
        </w:rPr>
        <w:t>Versio</w:t>
      </w:r>
      <w:proofErr w:type="spellEnd"/>
      <w:r w:rsidRPr="008841F5">
        <w:rPr>
          <w:lang w:val="en-US"/>
        </w:rPr>
        <w:t xml:space="preserve"> 4, 1.7.2021</w:t>
      </w:r>
    </w:p>
    <w:p w14:paraId="1B9E04FE" w14:textId="77777777" w:rsidR="001703C9" w:rsidRPr="008E66FC" w:rsidRDefault="001703C9" w:rsidP="001703C9">
      <w:pPr>
        <w:pStyle w:val="Asiatekstileipteksti"/>
        <w:rPr>
          <w:lang w:val="en-US"/>
        </w:rPr>
      </w:pPr>
    </w:p>
    <w:p w14:paraId="18323D99" w14:textId="77777777" w:rsidR="001703C9" w:rsidRDefault="001703C9" w:rsidP="001703C9">
      <w:pPr>
        <w:pStyle w:val="Asiatekstileipteksti"/>
      </w:pPr>
      <w:r w:rsidRPr="00B21F92">
        <w:lastRenderedPageBreak/>
        <w:t xml:space="preserve">Näitä ohjeita voidaan soveltaa myös muita kuin </w:t>
      </w:r>
      <w:r w:rsidRPr="00B21F92">
        <w:rPr>
          <w:i/>
        </w:rPr>
        <w:t>L.</w:t>
      </w:r>
      <w:r>
        <w:rPr>
          <w:i/>
        </w:rPr>
        <w:t> </w:t>
      </w:r>
      <w:proofErr w:type="spellStart"/>
      <w:r w:rsidRPr="00B21F92">
        <w:rPr>
          <w:i/>
        </w:rPr>
        <w:t>monocytogenes</w:t>
      </w:r>
      <w:proofErr w:type="spellEnd"/>
      <w:r w:rsidRPr="00B21F92">
        <w:t xml:space="preserve"> -bakteeria tutkittaessa.</w:t>
      </w:r>
    </w:p>
    <w:p w14:paraId="4872D515" w14:textId="77777777" w:rsidR="001703C9" w:rsidRDefault="001703C9" w:rsidP="001703C9">
      <w:pPr>
        <w:pStyle w:val="Asiatekstileipteksti"/>
      </w:pPr>
    </w:p>
    <w:p w14:paraId="5A71C855" w14:textId="77777777" w:rsidR="001703C9" w:rsidRDefault="001703C9" w:rsidP="001703C9">
      <w:pPr>
        <w:pStyle w:val="Asiatekstileipteksti"/>
        <w:spacing w:after="240"/>
      </w:pPr>
      <w:r w:rsidRPr="004D0AD7">
        <w:t xml:space="preserve">Säilyvyystutkimuksiin laboratoriossa </w:t>
      </w:r>
      <w:r w:rsidRPr="007468D2">
        <w:t>kuuluvat rasitus- eli</w:t>
      </w:r>
      <w:r>
        <w:t xml:space="preserve"> kasvu</w:t>
      </w:r>
      <w:r w:rsidRPr="00020671">
        <w:t>kokeet (</w:t>
      </w:r>
      <w:proofErr w:type="spellStart"/>
      <w:r w:rsidRPr="00020671">
        <w:t>challenge</w:t>
      </w:r>
      <w:proofErr w:type="spellEnd"/>
      <w:r w:rsidRPr="00020671">
        <w:t xml:space="preserve"> </w:t>
      </w:r>
      <w:proofErr w:type="spellStart"/>
      <w:r w:rsidRPr="00020671">
        <w:t>test</w:t>
      </w:r>
      <w:proofErr w:type="spellEnd"/>
      <w:r w:rsidRPr="00020671">
        <w:t xml:space="preserve">) </w:t>
      </w:r>
      <w:r w:rsidRPr="00B904B7">
        <w:t>ja säilyvyystutkimukset viimeisenä käyttöpäivänä eli kestokokeet (</w:t>
      </w:r>
      <w:proofErr w:type="spellStart"/>
      <w:r w:rsidRPr="00B904B7">
        <w:t>durability</w:t>
      </w:r>
      <w:proofErr w:type="spellEnd"/>
      <w:r w:rsidRPr="00B904B7">
        <w:t xml:space="preserve"> </w:t>
      </w:r>
      <w:proofErr w:type="spellStart"/>
      <w:r w:rsidRPr="00B904B7">
        <w:t>studies</w:t>
      </w:r>
      <w:proofErr w:type="spellEnd"/>
      <w:r w:rsidRPr="00B904B7">
        <w:t>). Tuotteen kasvututkimuksissa (</w:t>
      </w:r>
      <w:proofErr w:type="spellStart"/>
      <w:r w:rsidRPr="00B904B7">
        <w:t>challenge</w:t>
      </w:r>
      <w:proofErr w:type="spellEnd"/>
      <w:r w:rsidRPr="00B904B7">
        <w:t xml:space="preserve"> </w:t>
      </w:r>
      <w:proofErr w:type="spellStart"/>
      <w:r w:rsidRPr="00B904B7">
        <w:t>test</w:t>
      </w:r>
      <w:proofErr w:type="spellEnd"/>
      <w:r w:rsidRPr="00B904B7">
        <w:t>) tutkittavaan näytteeseen lisätään</w:t>
      </w:r>
      <w:r w:rsidRPr="007468D2">
        <w:t xml:space="preserve"> laboratoriossa</w:t>
      </w:r>
      <w:r w:rsidRPr="00020671">
        <w:t xml:space="preserve"> tunnettu määrä </w:t>
      </w:r>
      <w:proofErr w:type="spellStart"/>
      <w:r w:rsidRPr="00020671">
        <w:t>listeriabakteereita</w:t>
      </w:r>
      <w:proofErr w:type="spellEnd"/>
      <w:r w:rsidRPr="00020671">
        <w:t xml:space="preserve"> ja </w:t>
      </w:r>
      <w:r>
        <w:t>bakteerien</w:t>
      </w:r>
      <w:r w:rsidRPr="00020671">
        <w:t xml:space="preserve"> kasvua seurataan viimeiseen käyttöpäivään asti. Kasvut</w:t>
      </w:r>
      <w:r>
        <w:t>ut</w:t>
      </w:r>
      <w:r w:rsidRPr="00020671">
        <w:t xml:space="preserve">kimus antaa tietoa siitä, miten listeria pystyy kasvamaan juuri tässä tuotteessa. Tuloksen avulla voidaan määrittää raja-arvo tuotannon jälkeen sellaiseksi, että </w:t>
      </w:r>
      <w:proofErr w:type="spellStart"/>
      <w:r w:rsidRPr="00020671">
        <w:t>listerian</w:t>
      </w:r>
      <w:proofErr w:type="spellEnd"/>
      <w:r w:rsidRPr="00020671">
        <w:t xml:space="preserve"> määrä ei ylitä 100 </w:t>
      </w:r>
      <w:proofErr w:type="spellStart"/>
      <w:r w:rsidRPr="00020671">
        <w:t>pmy</w:t>
      </w:r>
      <w:proofErr w:type="spellEnd"/>
      <w:r w:rsidRPr="00020671">
        <w:t>/g säilyvyysaikana.</w:t>
      </w:r>
      <w:r>
        <w:t xml:space="preserve"> </w:t>
      </w:r>
      <w:r w:rsidRPr="00B904B7">
        <w:t>Kestokokeessa (</w:t>
      </w:r>
      <w:proofErr w:type="spellStart"/>
      <w:r w:rsidRPr="00020671">
        <w:t>durability</w:t>
      </w:r>
      <w:proofErr w:type="spellEnd"/>
      <w:r w:rsidRPr="00020671">
        <w:t xml:space="preserve"> </w:t>
      </w:r>
      <w:proofErr w:type="spellStart"/>
      <w:r w:rsidRPr="00020671">
        <w:t>test</w:t>
      </w:r>
      <w:proofErr w:type="spellEnd"/>
      <w:r w:rsidRPr="00020671">
        <w:t>) valmista tuotetta säilytetään viimeiseen käyttöpäivään asti</w:t>
      </w:r>
      <w:r>
        <w:t xml:space="preserve"> todellisia olosuhteita, kuten kotijääkaappia jäljittelevissä lämpötiloissa,</w:t>
      </w:r>
      <w:r w:rsidRPr="00020671">
        <w:t xml:space="preserve"> ja selvitetään</w:t>
      </w:r>
      <w:r>
        <w:t>,</w:t>
      </w:r>
      <w:r w:rsidRPr="00020671">
        <w:t xml:space="preserve"> ylittyykö mikrobikriteeriasetuksen raja-arvo vai ei. Tämän tutkimuksen ongelmana on se, että </w:t>
      </w:r>
      <w:r>
        <w:t xml:space="preserve">tutkittavissa </w:t>
      </w:r>
      <w:r w:rsidRPr="00020671">
        <w:t xml:space="preserve">näytteissä ei välttämättä ole </w:t>
      </w:r>
      <w:proofErr w:type="spellStart"/>
      <w:r w:rsidRPr="00020671">
        <w:t>listeriaa</w:t>
      </w:r>
      <w:proofErr w:type="spellEnd"/>
      <w:r w:rsidRPr="00020671">
        <w:t xml:space="preserve"> tut</w:t>
      </w:r>
      <w:r>
        <w:t>kimuksen alussa. Tällöin</w:t>
      </w:r>
      <w:r w:rsidRPr="00020671">
        <w:t xml:space="preserve"> tutkimuksen lopussa </w:t>
      </w:r>
      <w:r>
        <w:t>saatetaan tulkita</w:t>
      </w:r>
      <w:r w:rsidRPr="00020671">
        <w:t xml:space="preserve"> virheellisesti, että listeria ei kasva tuotteessa yli 100 </w:t>
      </w:r>
      <w:proofErr w:type="spellStart"/>
      <w:r w:rsidRPr="00020671">
        <w:t>pmy</w:t>
      </w:r>
      <w:proofErr w:type="spellEnd"/>
      <w:r w:rsidRPr="00020671">
        <w:t>/g säilyvyysaikana.</w:t>
      </w:r>
    </w:p>
    <w:p w14:paraId="5A1F5618" w14:textId="77777777" w:rsidR="001703C9" w:rsidRDefault="001703C9" w:rsidP="001703C9">
      <w:pPr>
        <w:pStyle w:val="Asiatekstileipteksti"/>
        <w:spacing w:after="240"/>
      </w:pPr>
      <w:r w:rsidRPr="00B21F92">
        <w:t xml:space="preserve">Ohjeissa säilyvyystutkimukset suositellaan tehtäväksi </w:t>
      </w:r>
      <w:r>
        <w:t>siinä lämpötilassa, jossa</w:t>
      </w:r>
      <w:r w:rsidRPr="000B2EA5">
        <w:t xml:space="preserve"> </w:t>
      </w:r>
      <w:r>
        <w:t xml:space="preserve">tuotetta </w:t>
      </w:r>
      <w:r w:rsidRPr="000B2EA5">
        <w:t>toimija</w:t>
      </w:r>
      <w:r>
        <w:t>n</w:t>
      </w:r>
      <w:r w:rsidRPr="000B2EA5">
        <w:t xml:space="preserve"> </w:t>
      </w:r>
      <w:r>
        <w:t xml:space="preserve">tiedon mukaan </w:t>
      </w:r>
      <w:r w:rsidRPr="000B2EA5">
        <w:t>käytännössä säilytetään</w:t>
      </w:r>
      <w:r>
        <w:t>, esimerkiksi vientiin tarkoitetuilla tuotteilla kohdemaan säilytyslämpötiloissa.</w:t>
      </w:r>
      <w:r w:rsidRPr="000B2EA5">
        <w:t xml:space="preserve"> Toinen </w:t>
      </w:r>
      <w:r>
        <w:t>vaihtoehto on</w:t>
      </w:r>
      <w:r w:rsidRPr="000B2EA5">
        <w:t xml:space="preserve"> arvioida kansal</w:t>
      </w:r>
      <w:r>
        <w:t>lisesti, mitä lämpötilat käytän</w:t>
      </w:r>
      <w:r w:rsidRPr="000B2EA5">
        <w:t>nössä ovat kaupassa ja kotona</w:t>
      </w:r>
      <w:r w:rsidRPr="00B21F92">
        <w:t xml:space="preserve">. </w:t>
      </w:r>
      <w:bookmarkStart w:id="5" w:name="_Hlk145502030"/>
      <w:r w:rsidRPr="00B904B7">
        <w:t>Kansallisesti tätä arviointia ei ole kuitenkaan tehty, joten kaupan ja kuljetuksen lämpötilaksi tutkimuksessa oletetaan 7 °C ja kotijääkaapin lämpötilaksi 10 °C.</w:t>
      </w:r>
      <w:r>
        <w:t xml:space="preserve"> </w:t>
      </w:r>
    </w:p>
    <w:bookmarkEnd w:id="5"/>
    <w:p w14:paraId="7F36C22A" w14:textId="77777777" w:rsidR="001703C9" w:rsidRDefault="001703C9" w:rsidP="001703C9">
      <w:pPr>
        <w:pStyle w:val="Asiatekstileipteksti"/>
        <w:spacing w:after="240"/>
      </w:pPr>
      <w:r w:rsidRPr="00B21F92">
        <w:t>Säilyvyystutkimusten tekeminen elintarvikesäännösten mukaista myyntipaikan säilytyslämpötilaa</w:t>
      </w:r>
      <w:r w:rsidRPr="00B21F92">
        <w:rPr>
          <w:b/>
          <w:bCs/>
          <w:i/>
          <w:iCs/>
        </w:rPr>
        <w:t xml:space="preserve"> </w:t>
      </w:r>
      <w:r w:rsidRPr="00B21F92">
        <w:t xml:space="preserve">korkeammassa lämpötilassa antaa paremman turvamarginaalin </w:t>
      </w:r>
      <w:proofErr w:type="spellStart"/>
      <w:r w:rsidRPr="00B21F92">
        <w:t>listerian</w:t>
      </w:r>
      <w:proofErr w:type="spellEnd"/>
      <w:r w:rsidRPr="00B21F92">
        <w:t xml:space="preserve"> suhteen tuotteen elinkaaren aikana.</w:t>
      </w:r>
      <w:r w:rsidRPr="004D0AD7">
        <w:t xml:space="preserve"> </w:t>
      </w:r>
    </w:p>
    <w:p w14:paraId="72C3B13A" w14:textId="77777777" w:rsidR="001703C9" w:rsidRDefault="001703C9" w:rsidP="001703C9">
      <w:pPr>
        <w:pStyle w:val="Asiatekstileipteksti"/>
        <w:spacing w:after="240"/>
      </w:pPr>
      <w:r>
        <w:t>L</w:t>
      </w:r>
      <w:r w:rsidRPr="004D0AD7">
        <w:t>aboratorioilla, jotka tekevät tutkimuksia myyntiajan määrittämisen tueksi, täytyy olla riittävä kokemus näiden tutkimusten tekemisestä.</w:t>
      </w:r>
    </w:p>
    <w:p w14:paraId="5872F488" w14:textId="77777777" w:rsidR="001703C9" w:rsidRDefault="001703C9" w:rsidP="001703C9">
      <w:pPr>
        <w:pStyle w:val="Asiatekstileipteksti"/>
        <w:spacing w:after="240"/>
      </w:pPr>
      <w:r w:rsidRPr="00E4668C">
        <w:t xml:space="preserve">Toimijan tulee voida luotettavasti osoittaa valvontaviranomaiselle, että </w:t>
      </w:r>
      <w:r w:rsidRPr="00E4668C">
        <w:rPr>
          <w:i/>
          <w:iCs/>
        </w:rPr>
        <w:t>L.</w:t>
      </w:r>
      <w:r>
        <w:rPr>
          <w:i/>
          <w:iCs/>
        </w:rPr>
        <w:t> </w:t>
      </w:r>
      <w:proofErr w:type="spellStart"/>
      <w:r w:rsidRPr="00E4668C">
        <w:rPr>
          <w:i/>
          <w:iCs/>
        </w:rPr>
        <w:t>monocytogenes</w:t>
      </w:r>
      <w:proofErr w:type="spellEnd"/>
      <w:r w:rsidRPr="00E4668C">
        <w:rPr>
          <w:i/>
          <w:iCs/>
        </w:rPr>
        <w:t xml:space="preserve"> -</w:t>
      </w:r>
      <w:r w:rsidRPr="00772D50">
        <w:rPr>
          <w:iCs/>
        </w:rPr>
        <w:t xml:space="preserve">bakteerin </w:t>
      </w:r>
      <w:r w:rsidRPr="00E4668C">
        <w:t>mikrobikriteeriasetuksen mukainen</w:t>
      </w:r>
      <w:r w:rsidRPr="00E4668C">
        <w:rPr>
          <w:i/>
          <w:iCs/>
        </w:rPr>
        <w:t xml:space="preserve"> </w:t>
      </w:r>
      <w:r w:rsidRPr="00E4668C">
        <w:t>raja-arvo</w:t>
      </w:r>
      <w:r w:rsidRPr="00E4668C">
        <w:rPr>
          <w:i/>
          <w:iCs/>
        </w:rPr>
        <w:t xml:space="preserve"> </w:t>
      </w:r>
      <w:r w:rsidRPr="00E4668C">
        <w:t xml:space="preserve">tuotteessa ei ylity myyntiaikana. Käytännössä tämä tarkoittaa sitä, että toimijan on tehtävä tuotteelle </w:t>
      </w:r>
      <w:bookmarkStart w:id="6" w:name="_Hlk153972818"/>
      <w:r w:rsidRPr="00E4668C">
        <w:t>säilyvyystutkimuksia</w:t>
      </w:r>
      <w:r>
        <w:t xml:space="preserve"> joko laboratoriotutkimuksin tai elintarvikkeen ominaisuuksi</w:t>
      </w:r>
      <w:bookmarkEnd w:id="6"/>
      <w:r>
        <w:t>a hyväksi käyttäen mallinnusohjelmilla</w:t>
      </w:r>
      <w:r w:rsidRPr="00E4668C">
        <w:t xml:space="preserve">. Ellei säilyvyystutkimuksia ole tehty, </w:t>
      </w:r>
      <w:proofErr w:type="spellStart"/>
      <w:r w:rsidRPr="00E4668C">
        <w:t>listerian</w:t>
      </w:r>
      <w:proofErr w:type="spellEnd"/>
      <w:r w:rsidRPr="00E4668C">
        <w:t xml:space="preserve"> suhteen noudatetaan tiukemp</w:t>
      </w:r>
      <w:r>
        <w:t>a</w:t>
      </w:r>
      <w:r w:rsidRPr="00E4668C">
        <w:t>a kriteer</w:t>
      </w:r>
      <w:r>
        <w:t>i</w:t>
      </w:r>
      <w:r w:rsidRPr="00E4668C">
        <w:t>ä</w:t>
      </w:r>
      <w:bookmarkStart w:id="7" w:name="_Hlk153980224"/>
      <w:r>
        <w:t xml:space="preserve">, eli elintarvikkeessa ei valmistuksen jälkeen eikä myyntiaikana saa olla todettavissa </w:t>
      </w:r>
      <w:proofErr w:type="spellStart"/>
      <w:r>
        <w:t>listeriaa</w:t>
      </w:r>
      <w:bookmarkEnd w:id="7"/>
      <w:proofErr w:type="spellEnd"/>
      <w:r w:rsidRPr="00E4668C">
        <w:t>.</w:t>
      </w:r>
    </w:p>
    <w:p w14:paraId="4D1BE5FD" w14:textId="77777777" w:rsidR="001703C9" w:rsidRPr="00544504" w:rsidRDefault="001703C9" w:rsidP="001703C9">
      <w:pPr>
        <w:pStyle w:val="Asiatekstileipteksti"/>
        <w:spacing w:after="240"/>
        <w:rPr>
          <w:lang w:val="en-US"/>
        </w:rPr>
      </w:pPr>
      <w:r>
        <w:t>R</w:t>
      </w:r>
      <w:r w:rsidRPr="00E4668C">
        <w:t xml:space="preserve">aja-arvossa pysymisen määrittäminen </w:t>
      </w:r>
      <w:r>
        <w:t xml:space="preserve">esimerkiksi </w:t>
      </w:r>
      <w:r w:rsidRPr="00E4668C">
        <w:t xml:space="preserve">graavikalasta ainoastaan luonnollisesti saastuneilla raaka-aineilla (ilman lisättyä </w:t>
      </w:r>
      <w:proofErr w:type="spellStart"/>
      <w:r w:rsidRPr="00E4668C">
        <w:t>listeriabakteeria</w:t>
      </w:r>
      <w:proofErr w:type="spellEnd"/>
      <w:r w:rsidRPr="00E4668C">
        <w:t>) vaatii käytännössä hyvin suuren määrän näytteitä</w:t>
      </w:r>
      <w:r>
        <w:t>, jotta tulos olisi luotettava</w:t>
      </w:r>
      <w:r w:rsidRPr="00E4668C">
        <w:t>.</w:t>
      </w:r>
      <w:r>
        <w:t xml:space="preserve"> </w:t>
      </w:r>
      <w:proofErr w:type="spellStart"/>
      <w:r w:rsidRPr="009C0E31">
        <w:rPr>
          <w:lang w:val="en-US"/>
        </w:rPr>
        <w:t>Kestävyyskokeessa</w:t>
      </w:r>
      <w:proofErr w:type="spellEnd"/>
      <w:r w:rsidRPr="009C0E31">
        <w:rPr>
          <w:lang w:val="en-US"/>
        </w:rPr>
        <w:t xml:space="preserve"> </w:t>
      </w:r>
      <w:proofErr w:type="spellStart"/>
      <w:r w:rsidRPr="009C0E31">
        <w:rPr>
          <w:lang w:val="en-US"/>
        </w:rPr>
        <w:t>tarvittavan</w:t>
      </w:r>
      <w:proofErr w:type="spellEnd"/>
      <w:r w:rsidRPr="009C0E31">
        <w:rPr>
          <w:lang w:val="en-US"/>
        </w:rPr>
        <w:t xml:space="preserve"> </w:t>
      </w:r>
      <w:proofErr w:type="spellStart"/>
      <w:r w:rsidRPr="009C0E31">
        <w:rPr>
          <w:lang w:val="en-US"/>
        </w:rPr>
        <w:t>näytemäärän</w:t>
      </w:r>
      <w:proofErr w:type="spellEnd"/>
      <w:r w:rsidRPr="009C0E31">
        <w:rPr>
          <w:lang w:val="en-US"/>
        </w:rPr>
        <w:t xml:space="preserve"> </w:t>
      </w:r>
      <w:proofErr w:type="spellStart"/>
      <w:r w:rsidRPr="009C0E31">
        <w:rPr>
          <w:lang w:val="en-US"/>
        </w:rPr>
        <w:t>arviointiin</w:t>
      </w:r>
      <w:proofErr w:type="spellEnd"/>
      <w:r w:rsidRPr="009C0E31">
        <w:rPr>
          <w:lang w:val="en-US"/>
        </w:rPr>
        <w:t xml:space="preserve"> </w:t>
      </w:r>
      <w:proofErr w:type="spellStart"/>
      <w:r w:rsidRPr="009C0E31">
        <w:rPr>
          <w:lang w:val="en-US"/>
        </w:rPr>
        <w:t>voi</w:t>
      </w:r>
      <w:proofErr w:type="spellEnd"/>
      <w:r w:rsidRPr="009C0E31">
        <w:rPr>
          <w:lang w:val="en-US"/>
        </w:rPr>
        <w:t xml:space="preserve"> </w:t>
      </w:r>
      <w:proofErr w:type="spellStart"/>
      <w:r w:rsidRPr="009C0E31">
        <w:rPr>
          <w:lang w:val="en-US"/>
        </w:rPr>
        <w:t>käyttää</w:t>
      </w:r>
      <w:proofErr w:type="spellEnd"/>
      <w:r w:rsidRPr="009C0E31">
        <w:rPr>
          <w:lang w:val="en-US"/>
        </w:rPr>
        <w:t xml:space="preserve"> EU </w:t>
      </w:r>
      <w:proofErr w:type="spellStart"/>
      <w:r w:rsidRPr="009C0E31">
        <w:rPr>
          <w:lang w:val="en-US"/>
        </w:rPr>
        <w:t>Listeriavertailulaboratorion</w:t>
      </w:r>
      <w:proofErr w:type="spellEnd"/>
      <w:r w:rsidRPr="009C0E31">
        <w:rPr>
          <w:lang w:val="en-US"/>
        </w:rPr>
        <w:t xml:space="preserve"> </w:t>
      </w:r>
      <w:proofErr w:type="spellStart"/>
      <w:r w:rsidRPr="009C0E31">
        <w:rPr>
          <w:lang w:val="en-US"/>
        </w:rPr>
        <w:t>ohjeen</w:t>
      </w:r>
      <w:proofErr w:type="spellEnd"/>
      <w:r w:rsidRPr="009C0E31">
        <w:rPr>
          <w:lang w:val="en-US"/>
        </w:rPr>
        <w:t xml:space="preserve"> </w:t>
      </w:r>
      <w:proofErr w:type="spellStart"/>
      <w:r w:rsidRPr="009C0E31">
        <w:rPr>
          <w:lang w:val="en-US"/>
        </w:rPr>
        <w:t>taulukkoa</w:t>
      </w:r>
      <w:proofErr w:type="spellEnd"/>
      <w:r w:rsidRPr="009C0E31">
        <w:rPr>
          <w:lang w:val="en-US"/>
        </w:rPr>
        <w:t xml:space="preserve"> 7: </w:t>
      </w:r>
      <w:hyperlink r:id="rId7" w:tooltip="Technical guidance document on challenge tests and durability studies for assessing shelf-life of ready-to-eat foods related to Listeria monocytogenes" w:history="1">
        <w:r w:rsidRPr="009C0E31">
          <w:rPr>
            <w:rStyle w:val="Hyperlinkki"/>
            <w:b/>
            <w:bCs/>
            <w:lang w:val="en-US"/>
          </w:rPr>
          <w:t>Technical guidance document on challenge tests and durability studies for assessing shelf-life of ready-to-eat foods related to </w:t>
        </w:r>
        <w:r w:rsidRPr="009C0E31">
          <w:rPr>
            <w:rStyle w:val="Hyperlinkki"/>
            <w:b/>
            <w:bCs/>
            <w:i/>
            <w:iCs/>
            <w:lang w:val="en-US"/>
          </w:rPr>
          <w:t>Listeria monocytogenes</w:t>
        </w:r>
      </w:hyperlink>
    </w:p>
    <w:p w14:paraId="4252F9EB" w14:textId="77777777" w:rsidR="001703C9" w:rsidRPr="00544504" w:rsidRDefault="001703C9" w:rsidP="001703C9">
      <w:pPr>
        <w:pStyle w:val="Asiatekstileipteksti"/>
        <w:spacing w:after="240"/>
      </w:pPr>
      <w:r>
        <w:lastRenderedPageBreak/>
        <w:t xml:space="preserve">Käytännössä </w:t>
      </w:r>
      <w:r w:rsidRPr="00EC15D1">
        <w:t>luonnollise</w:t>
      </w:r>
      <w:r>
        <w:t xml:space="preserve">sti saastuneita elintarvike-eriä tulisi esiintyä usein, jotta viimeisenä käyttöpäivänä tehtäviä säilyvyystutkimuksia kannattaisi tehdä, ja tulos olisi luotettava. Tutkimusmäärät nousevat helposti suuriksi, koska näytteissä ei useimmiten ole </w:t>
      </w:r>
      <w:proofErr w:type="spellStart"/>
      <w:r>
        <w:t>listeriaa</w:t>
      </w:r>
      <w:proofErr w:type="spellEnd"/>
      <w:r>
        <w:t>. Tällöin mallinnus tai kasvukokeet ovat suositeltavampia tapoja säilyvyystutkimusten tekemiseen.</w:t>
      </w:r>
    </w:p>
    <w:p w14:paraId="044A9281" w14:textId="77777777" w:rsidR="001703C9" w:rsidRPr="00E4668C" w:rsidRDefault="001703C9" w:rsidP="001703C9">
      <w:pPr>
        <w:pStyle w:val="Asiatekstileipteksti"/>
        <w:spacing w:after="240"/>
      </w:pPr>
      <w:r>
        <w:t>Jos näytteistä ei ole saatu riittävää näyttöä raja-arvossa pysymisestä</w:t>
      </w:r>
      <w:r w:rsidRPr="00E4668C">
        <w:t xml:space="preserve"> </w:t>
      </w:r>
      <w:r w:rsidRPr="00E4668C">
        <w:rPr>
          <w:i/>
        </w:rPr>
        <w:t>L.</w:t>
      </w:r>
      <w:r>
        <w:rPr>
          <w:i/>
        </w:rPr>
        <w:t> </w:t>
      </w:r>
      <w:proofErr w:type="spellStart"/>
      <w:r w:rsidRPr="00E4668C">
        <w:rPr>
          <w:i/>
        </w:rPr>
        <w:t>monocytogenes</w:t>
      </w:r>
      <w:proofErr w:type="spellEnd"/>
      <w:r w:rsidRPr="00E4668C">
        <w:rPr>
          <w:i/>
        </w:rPr>
        <w:t xml:space="preserve"> </w:t>
      </w:r>
      <w:r>
        <w:t>-</w:t>
      </w:r>
      <w:r w:rsidRPr="00E4668C">
        <w:t>bakteeria ei saa olla osoitettavissa tuotantopaikassa otetussa näytteessä</w:t>
      </w:r>
      <w:r>
        <w:t xml:space="preserve"> eikä koko myyntiaikana</w:t>
      </w:r>
      <w:r w:rsidRPr="00E4668C">
        <w:t xml:space="preserve">. Jos </w:t>
      </w:r>
      <w:proofErr w:type="spellStart"/>
      <w:r w:rsidRPr="00E4668C">
        <w:t>listeriaa</w:t>
      </w:r>
      <w:proofErr w:type="spellEnd"/>
      <w:r w:rsidRPr="00E4668C">
        <w:t xml:space="preserve"> esiintyy, tuote-erä on vedettävä pois myynnistä. </w:t>
      </w:r>
    </w:p>
    <w:p w14:paraId="3BE30215" w14:textId="77777777" w:rsidR="001703C9" w:rsidRDefault="001703C9" w:rsidP="001703C9">
      <w:pPr>
        <w:pStyle w:val="Asiatekstileipteksti"/>
        <w:spacing w:after="240"/>
      </w:pPr>
      <w:r w:rsidRPr="001138C5">
        <w:t xml:space="preserve">Ruokavirasto suosittelee graavisuolattujen ja kylmäsavustettujen kalastustuotteiden myyntiajaksi korkeintaan 14 vuorokautta </w:t>
      </w:r>
      <w:proofErr w:type="spellStart"/>
      <w:r w:rsidRPr="001138C5">
        <w:t>listeriariskin</w:t>
      </w:r>
      <w:proofErr w:type="spellEnd"/>
      <w:r w:rsidRPr="001138C5">
        <w:t xml:space="preserve"> pienentämiseksi.</w:t>
      </w:r>
      <w:r w:rsidRPr="00CF4D1B">
        <w:t xml:space="preserve"> </w:t>
      </w:r>
      <w:bookmarkStart w:id="8" w:name="_Hlk145502359"/>
      <w:r>
        <w:t xml:space="preserve">Suosituksesta poikkeaminen edellyttää perusteluita, eli edellä mainittuja asianmukaisia säilyvyystutkimuksia. </w:t>
      </w:r>
    </w:p>
    <w:bookmarkEnd w:id="8"/>
    <w:p w14:paraId="1B522C09" w14:textId="77777777" w:rsidR="00876293" w:rsidRDefault="00876293"/>
    <w:sectPr w:rsidR="0087629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B7A51"/>
    <w:multiLevelType w:val="hybridMultilevel"/>
    <w:tmpl w:val="EF5E8140"/>
    <w:lvl w:ilvl="0" w:tplc="49862BAC">
      <w:start w:val="1"/>
      <w:numFmt w:val="bullet"/>
      <w:pStyle w:val="Merkkiluettelo"/>
      <w:lvlText w:val=""/>
      <w:lvlJc w:val="left"/>
      <w:pPr>
        <w:ind w:left="3053" w:hanging="360"/>
      </w:pPr>
      <w:rPr>
        <w:rFonts w:ascii="Symbol" w:hAnsi="Symbol" w:hint="default"/>
      </w:rPr>
    </w:lvl>
    <w:lvl w:ilvl="1" w:tplc="040B0003">
      <w:start w:val="1"/>
      <w:numFmt w:val="bullet"/>
      <w:lvlText w:val="o"/>
      <w:lvlJc w:val="left"/>
      <w:pPr>
        <w:tabs>
          <w:tab w:val="num" w:pos="3464"/>
        </w:tabs>
        <w:ind w:left="3464" w:hanging="360"/>
      </w:pPr>
      <w:rPr>
        <w:rFonts w:ascii="Courier New" w:hAnsi="Courier New" w:cs="Courier New" w:hint="default"/>
      </w:rPr>
    </w:lvl>
    <w:lvl w:ilvl="2" w:tplc="040B0005" w:tentative="1">
      <w:start w:val="1"/>
      <w:numFmt w:val="bullet"/>
      <w:lvlText w:val=""/>
      <w:lvlJc w:val="left"/>
      <w:pPr>
        <w:tabs>
          <w:tab w:val="num" w:pos="4184"/>
        </w:tabs>
        <w:ind w:left="4184" w:hanging="360"/>
      </w:pPr>
      <w:rPr>
        <w:rFonts w:ascii="Wingdings" w:hAnsi="Wingdings" w:hint="default"/>
      </w:rPr>
    </w:lvl>
    <w:lvl w:ilvl="3" w:tplc="040B0001" w:tentative="1">
      <w:start w:val="1"/>
      <w:numFmt w:val="bullet"/>
      <w:lvlText w:val=""/>
      <w:lvlJc w:val="left"/>
      <w:pPr>
        <w:tabs>
          <w:tab w:val="num" w:pos="4904"/>
        </w:tabs>
        <w:ind w:left="4904" w:hanging="360"/>
      </w:pPr>
      <w:rPr>
        <w:rFonts w:ascii="Symbol" w:hAnsi="Symbol" w:hint="default"/>
      </w:rPr>
    </w:lvl>
    <w:lvl w:ilvl="4" w:tplc="040B0003" w:tentative="1">
      <w:start w:val="1"/>
      <w:numFmt w:val="bullet"/>
      <w:lvlText w:val="o"/>
      <w:lvlJc w:val="left"/>
      <w:pPr>
        <w:tabs>
          <w:tab w:val="num" w:pos="5624"/>
        </w:tabs>
        <w:ind w:left="5624" w:hanging="360"/>
      </w:pPr>
      <w:rPr>
        <w:rFonts w:ascii="Courier New" w:hAnsi="Courier New" w:cs="Courier New" w:hint="default"/>
      </w:rPr>
    </w:lvl>
    <w:lvl w:ilvl="5" w:tplc="040B0005" w:tentative="1">
      <w:start w:val="1"/>
      <w:numFmt w:val="bullet"/>
      <w:lvlText w:val=""/>
      <w:lvlJc w:val="left"/>
      <w:pPr>
        <w:tabs>
          <w:tab w:val="num" w:pos="6344"/>
        </w:tabs>
        <w:ind w:left="6344" w:hanging="360"/>
      </w:pPr>
      <w:rPr>
        <w:rFonts w:ascii="Wingdings" w:hAnsi="Wingdings" w:hint="default"/>
      </w:rPr>
    </w:lvl>
    <w:lvl w:ilvl="6" w:tplc="040B0001" w:tentative="1">
      <w:start w:val="1"/>
      <w:numFmt w:val="bullet"/>
      <w:lvlText w:val=""/>
      <w:lvlJc w:val="left"/>
      <w:pPr>
        <w:tabs>
          <w:tab w:val="num" w:pos="7064"/>
        </w:tabs>
        <w:ind w:left="7064" w:hanging="360"/>
      </w:pPr>
      <w:rPr>
        <w:rFonts w:ascii="Symbol" w:hAnsi="Symbol" w:hint="default"/>
      </w:rPr>
    </w:lvl>
    <w:lvl w:ilvl="7" w:tplc="040B0003" w:tentative="1">
      <w:start w:val="1"/>
      <w:numFmt w:val="bullet"/>
      <w:lvlText w:val="o"/>
      <w:lvlJc w:val="left"/>
      <w:pPr>
        <w:tabs>
          <w:tab w:val="num" w:pos="7784"/>
        </w:tabs>
        <w:ind w:left="7784" w:hanging="360"/>
      </w:pPr>
      <w:rPr>
        <w:rFonts w:ascii="Courier New" w:hAnsi="Courier New" w:cs="Courier New" w:hint="default"/>
      </w:rPr>
    </w:lvl>
    <w:lvl w:ilvl="8" w:tplc="040B0005" w:tentative="1">
      <w:start w:val="1"/>
      <w:numFmt w:val="bullet"/>
      <w:lvlText w:val=""/>
      <w:lvlJc w:val="left"/>
      <w:pPr>
        <w:tabs>
          <w:tab w:val="num" w:pos="8504"/>
        </w:tabs>
        <w:ind w:left="8504" w:hanging="360"/>
      </w:pPr>
      <w:rPr>
        <w:rFonts w:ascii="Wingdings" w:hAnsi="Wingdings" w:hint="default"/>
      </w:rPr>
    </w:lvl>
  </w:abstractNum>
  <w:num w:numId="1" w16cid:durableId="6685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C9"/>
    <w:rsid w:val="00000A06"/>
    <w:rsid w:val="000029E9"/>
    <w:rsid w:val="00007485"/>
    <w:rsid w:val="00014901"/>
    <w:rsid w:val="00016B12"/>
    <w:rsid w:val="0001750E"/>
    <w:rsid w:val="00023967"/>
    <w:rsid w:val="00034CE8"/>
    <w:rsid w:val="0004072D"/>
    <w:rsid w:val="00043FDE"/>
    <w:rsid w:val="00044173"/>
    <w:rsid w:val="000450A5"/>
    <w:rsid w:val="00045633"/>
    <w:rsid w:val="00051DE9"/>
    <w:rsid w:val="0005203D"/>
    <w:rsid w:val="00052225"/>
    <w:rsid w:val="00053577"/>
    <w:rsid w:val="00053C64"/>
    <w:rsid w:val="000548FD"/>
    <w:rsid w:val="00063660"/>
    <w:rsid w:val="00066055"/>
    <w:rsid w:val="00067782"/>
    <w:rsid w:val="0007002D"/>
    <w:rsid w:val="00070BA9"/>
    <w:rsid w:val="00072D55"/>
    <w:rsid w:val="000730E3"/>
    <w:rsid w:val="0007748F"/>
    <w:rsid w:val="00082030"/>
    <w:rsid w:val="000967B4"/>
    <w:rsid w:val="000A1425"/>
    <w:rsid w:val="000C1801"/>
    <w:rsid w:val="000C6AF1"/>
    <w:rsid w:val="000C7D07"/>
    <w:rsid w:val="000D1C78"/>
    <w:rsid w:val="000D31FF"/>
    <w:rsid w:val="000D6685"/>
    <w:rsid w:val="000D78CE"/>
    <w:rsid w:val="000E0809"/>
    <w:rsid w:val="000E3787"/>
    <w:rsid w:val="000E42A2"/>
    <w:rsid w:val="000F1A39"/>
    <w:rsid w:val="00103F61"/>
    <w:rsid w:val="00107A6B"/>
    <w:rsid w:val="00114365"/>
    <w:rsid w:val="001235C4"/>
    <w:rsid w:val="00126D1C"/>
    <w:rsid w:val="0013502D"/>
    <w:rsid w:val="001358F6"/>
    <w:rsid w:val="00140426"/>
    <w:rsid w:val="0014061D"/>
    <w:rsid w:val="00143A7B"/>
    <w:rsid w:val="00146528"/>
    <w:rsid w:val="001468A2"/>
    <w:rsid w:val="00155DE0"/>
    <w:rsid w:val="001703C9"/>
    <w:rsid w:val="00171720"/>
    <w:rsid w:val="001724B8"/>
    <w:rsid w:val="001729B2"/>
    <w:rsid w:val="001802E6"/>
    <w:rsid w:val="001847A6"/>
    <w:rsid w:val="00194FD6"/>
    <w:rsid w:val="001A7579"/>
    <w:rsid w:val="001A79C8"/>
    <w:rsid w:val="001B03A3"/>
    <w:rsid w:val="001B14CA"/>
    <w:rsid w:val="001B1E93"/>
    <w:rsid w:val="001B7590"/>
    <w:rsid w:val="001C2221"/>
    <w:rsid w:val="001C3979"/>
    <w:rsid w:val="001C4FFE"/>
    <w:rsid w:val="001D3468"/>
    <w:rsid w:val="001D3DE5"/>
    <w:rsid w:val="001E01B5"/>
    <w:rsid w:val="001E4580"/>
    <w:rsid w:val="001E66C8"/>
    <w:rsid w:val="001E6B55"/>
    <w:rsid w:val="001F206E"/>
    <w:rsid w:val="00201BD5"/>
    <w:rsid w:val="002163CA"/>
    <w:rsid w:val="002165DC"/>
    <w:rsid w:val="00225E5C"/>
    <w:rsid w:val="00230065"/>
    <w:rsid w:val="0023180E"/>
    <w:rsid w:val="00250D6E"/>
    <w:rsid w:val="00251B70"/>
    <w:rsid w:val="0025203C"/>
    <w:rsid w:val="002557E3"/>
    <w:rsid w:val="00266FBB"/>
    <w:rsid w:val="00267330"/>
    <w:rsid w:val="00273D62"/>
    <w:rsid w:val="002742D7"/>
    <w:rsid w:val="002762A8"/>
    <w:rsid w:val="00276BCB"/>
    <w:rsid w:val="00277EBE"/>
    <w:rsid w:val="002877EC"/>
    <w:rsid w:val="002902AA"/>
    <w:rsid w:val="002927E0"/>
    <w:rsid w:val="002942D3"/>
    <w:rsid w:val="002943B4"/>
    <w:rsid w:val="002944D8"/>
    <w:rsid w:val="002B4C52"/>
    <w:rsid w:val="002C2BDB"/>
    <w:rsid w:val="002C3B0E"/>
    <w:rsid w:val="002C407F"/>
    <w:rsid w:val="002C5143"/>
    <w:rsid w:val="002E2B9C"/>
    <w:rsid w:val="002E2CF8"/>
    <w:rsid w:val="002E5598"/>
    <w:rsid w:val="002E67B5"/>
    <w:rsid w:val="002F0AAA"/>
    <w:rsid w:val="002F1A75"/>
    <w:rsid w:val="00300B44"/>
    <w:rsid w:val="00305F31"/>
    <w:rsid w:val="003067E5"/>
    <w:rsid w:val="00307B92"/>
    <w:rsid w:val="0031153C"/>
    <w:rsid w:val="0032114D"/>
    <w:rsid w:val="00323008"/>
    <w:rsid w:val="00327BED"/>
    <w:rsid w:val="003349C7"/>
    <w:rsid w:val="003516EA"/>
    <w:rsid w:val="00354603"/>
    <w:rsid w:val="00355970"/>
    <w:rsid w:val="00355B83"/>
    <w:rsid w:val="00372501"/>
    <w:rsid w:val="0038303D"/>
    <w:rsid w:val="0038713D"/>
    <w:rsid w:val="0038794A"/>
    <w:rsid w:val="0039165A"/>
    <w:rsid w:val="00391E3C"/>
    <w:rsid w:val="00393078"/>
    <w:rsid w:val="0039745F"/>
    <w:rsid w:val="003A7199"/>
    <w:rsid w:val="003B2C7C"/>
    <w:rsid w:val="003B3740"/>
    <w:rsid w:val="003B64E3"/>
    <w:rsid w:val="003B7485"/>
    <w:rsid w:val="003C1254"/>
    <w:rsid w:val="003C128D"/>
    <w:rsid w:val="003C5E25"/>
    <w:rsid w:val="003D08CF"/>
    <w:rsid w:val="003D1C38"/>
    <w:rsid w:val="003E14F1"/>
    <w:rsid w:val="003E217E"/>
    <w:rsid w:val="003E5042"/>
    <w:rsid w:val="003F5A7F"/>
    <w:rsid w:val="003F6F23"/>
    <w:rsid w:val="004067A8"/>
    <w:rsid w:val="00412DEB"/>
    <w:rsid w:val="00417B6D"/>
    <w:rsid w:val="00422AAD"/>
    <w:rsid w:val="00431903"/>
    <w:rsid w:val="00441EAF"/>
    <w:rsid w:val="00442EC7"/>
    <w:rsid w:val="004553DC"/>
    <w:rsid w:val="004610CC"/>
    <w:rsid w:val="0046116C"/>
    <w:rsid w:val="00462B90"/>
    <w:rsid w:val="00490ED8"/>
    <w:rsid w:val="004A4E48"/>
    <w:rsid w:val="004A7914"/>
    <w:rsid w:val="004B076B"/>
    <w:rsid w:val="004B635C"/>
    <w:rsid w:val="004C2DE3"/>
    <w:rsid w:val="004C70B6"/>
    <w:rsid w:val="004D0424"/>
    <w:rsid w:val="004D358C"/>
    <w:rsid w:val="004E7571"/>
    <w:rsid w:val="00510DC4"/>
    <w:rsid w:val="0051282F"/>
    <w:rsid w:val="00517B01"/>
    <w:rsid w:val="005215C1"/>
    <w:rsid w:val="005315FF"/>
    <w:rsid w:val="005437F9"/>
    <w:rsid w:val="00547A64"/>
    <w:rsid w:val="005532C5"/>
    <w:rsid w:val="005559DA"/>
    <w:rsid w:val="00560E63"/>
    <w:rsid w:val="00561F18"/>
    <w:rsid w:val="005802CF"/>
    <w:rsid w:val="00580601"/>
    <w:rsid w:val="00581154"/>
    <w:rsid w:val="005813CC"/>
    <w:rsid w:val="00581EF2"/>
    <w:rsid w:val="005A1233"/>
    <w:rsid w:val="005A2AEE"/>
    <w:rsid w:val="005A6CD6"/>
    <w:rsid w:val="005B76DC"/>
    <w:rsid w:val="005B77EE"/>
    <w:rsid w:val="005C3D4C"/>
    <w:rsid w:val="005C447B"/>
    <w:rsid w:val="005C45E7"/>
    <w:rsid w:val="005D3875"/>
    <w:rsid w:val="005D6527"/>
    <w:rsid w:val="005E4AAB"/>
    <w:rsid w:val="005E5661"/>
    <w:rsid w:val="005F0AD0"/>
    <w:rsid w:val="005F2923"/>
    <w:rsid w:val="005F33E8"/>
    <w:rsid w:val="00601D1B"/>
    <w:rsid w:val="0060536C"/>
    <w:rsid w:val="00605AD0"/>
    <w:rsid w:val="00613D02"/>
    <w:rsid w:val="00622826"/>
    <w:rsid w:val="00626C66"/>
    <w:rsid w:val="0063241F"/>
    <w:rsid w:val="00641EEC"/>
    <w:rsid w:val="00647D9D"/>
    <w:rsid w:val="00657E5C"/>
    <w:rsid w:val="00672C4D"/>
    <w:rsid w:val="00674894"/>
    <w:rsid w:val="006754B9"/>
    <w:rsid w:val="00677E4C"/>
    <w:rsid w:val="00680BF2"/>
    <w:rsid w:val="00690E0E"/>
    <w:rsid w:val="00691E72"/>
    <w:rsid w:val="0069650D"/>
    <w:rsid w:val="006A6838"/>
    <w:rsid w:val="006A7753"/>
    <w:rsid w:val="006B24D6"/>
    <w:rsid w:val="006C2166"/>
    <w:rsid w:val="006D0578"/>
    <w:rsid w:val="006E0ED4"/>
    <w:rsid w:val="006E47DC"/>
    <w:rsid w:val="006E6D71"/>
    <w:rsid w:val="006E6EF0"/>
    <w:rsid w:val="006E71B5"/>
    <w:rsid w:val="006F49D3"/>
    <w:rsid w:val="007042C6"/>
    <w:rsid w:val="007138C0"/>
    <w:rsid w:val="00715975"/>
    <w:rsid w:val="0072234C"/>
    <w:rsid w:val="0072562A"/>
    <w:rsid w:val="00733E5E"/>
    <w:rsid w:val="0074228E"/>
    <w:rsid w:val="00746456"/>
    <w:rsid w:val="0074694D"/>
    <w:rsid w:val="00750210"/>
    <w:rsid w:val="0075253B"/>
    <w:rsid w:val="00763E50"/>
    <w:rsid w:val="0076779A"/>
    <w:rsid w:val="0077023F"/>
    <w:rsid w:val="00770821"/>
    <w:rsid w:val="00780C56"/>
    <w:rsid w:val="00794626"/>
    <w:rsid w:val="0079480D"/>
    <w:rsid w:val="00794A26"/>
    <w:rsid w:val="007953F3"/>
    <w:rsid w:val="0079568A"/>
    <w:rsid w:val="007A2779"/>
    <w:rsid w:val="007A6E75"/>
    <w:rsid w:val="007A7046"/>
    <w:rsid w:val="007A7A06"/>
    <w:rsid w:val="007B0E27"/>
    <w:rsid w:val="007B101B"/>
    <w:rsid w:val="007B3C4D"/>
    <w:rsid w:val="007C63C7"/>
    <w:rsid w:val="007E150A"/>
    <w:rsid w:val="007E160A"/>
    <w:rsid w:val="007F2870"/>
    <w:rsid w:val="007F3250"/>
    <w:rsid w:val="008062FC"/>
    <w:rsid w:val="008111A7"/>
    <w:rsid w:val="00812290"/>
    <w:rsid w:val="00813B72"/>
    <w:rsid w:val="00813BAA"/>
    <w:rsid w:val="008156EE"/>
    <w:rsid w:val="00816B8C"/>
    <w:rsid w:val="00824891"/>
    <w:rsid w:val="00830986"/>
    <w:rsid w:val="00833CF4"/>
    <w:rsid w:val="00834A50"/>
    <w:rsid w:val="008436E8"/>
    <w:rsid w:val="00846D03"/>
    <w:rsid w:val="008470B7"/>
    <w:rsid w:val="00855EF5"/>
    <w:rsid w:val="00861514"/>
    <w:rsid w:val="00865B56"/>
    <w:rsid w:val="00871B0C"/>
    <w:rsid w:val="00875516"/>
    <w:rsid w:val="00876293"/>
    <w:rsid w:val="00882E82"/>
    <w:rsid w:val="00884408"/>
    <w:rsid w:val="00885A2B"/>
    <w:rsid w:val="00887D7B"/>
    <w:rsid w:val="008926B5"/>
    <w:rsid w:val="00896FF5"/>
    <w:rsid w:val="008B652A"/>
    <w:rsid w:val="008B694E"/>
    <w:rsid w:val="008B7950"/>
    <w:rsid w:val="008D196B"/>
    <w:rsid w:val="008D1EDB"/>
    <w:rsid w:val="008D34EE"/>
    <w:rsid w:val="008D4B78"/>
    <w:rsid w:val="008E05F2"/>
    <w:rsid w:val="008F2A65"/>
    <w:rsid w:val="008F3521"/>
    <w:rsid w:val="008F562A"/>
    <w:rsid w:val="008F7B09"/>
    <w:rsid w:val="00906DA8"/>
    <w:rsid w:val="009074A6"/>
    <w:rsid w:val="009210E7"/>
    <w:rsid w:val="0092455A"/>
    <w:rsid w:val="00930D20"/>
    <w:rsid w:val="009316AA"/>
    <w:rsid w:val="00934432"/>
    <w:rsid w:val="00942B16"/>
    <w:rsid w:val="00944778"/>
    <w:rsid w:val="00954B12"/>
    <w:rsid w:val="00955E4D"/>
    <w:rsid w:val="00963698"/>
    <w:rsid w:val="00964A01"/>
    <w:rsid w:val="009662D6"/>
    <w:rsid w:val="00966B70"/>
    <w:rsid w:val="009721AB"/>
    <w:rsid w:val="009733EF"/>
    <w:rsid w:val="00980199"/>
    <w:rsid w:val="00981C4D"/>
    <w:rsid w:val="00990835"/>
    <w:rsid w:val="00996F8D"/>
    <w:rsid w:val="009C0742"/>
    <w:rsid w:val="009C2F0B"/>
    <w:rsid w:val="009C3D5A"/>
    <w:rsid w:val="009C53A6"/>
    <w:rsid w:val="009C7838"/>
    <w:rsid w:val="009D0A87"/>
    <w:rsid w:val="009E2F25"/>
    <w:rsid w:val="009E3778"/>
    <w:rsid w:val="009E5C89"/>
    <w:rsid w:val="009F54D4"/>
    <w:rsid w:val="00A01DB8"/>
    <w:rsid w:val="00A03155"/>
    <w:rsid w:val="00A10800"/>
    <w:rsid w:val="00A12985"/>
    <w:rsid w:val="00A216C1"/>
    <w:rsid w:val="00A22FC9"/>
    <w:rsid w:val="00A30BFD"/>
    <w:rsid w:val="00A30CBB"/>
    <w:rsid w:val="00A348E4"/>
    <w:rsid w:val="00A42484"/>
    <w:rsid w:val="00A453DB"/>
    <w:rsid w:val="00A52D3F"/>
    <w:rsid w:val="00A56765"/>
    <w:rsid w:val="00A64C1B"/>
    <w:rsid w:val="00A65FF9"/>
    <w:rsid w:val="00A674C2"/>
    <w:rsid w:val="00A95CF4"/>
    <w:rsid w:val="00AA1589"/>
    <w:rsid w:val="00AA1AC0"/>
    <w:rsid w:val="00AA7562"/>
    <w:rsid w:val="00AB0A94"/>
    <w:rsid w:val="00AB0E17"/>
    <w:rsid w:val="00AB14B4"/>
    <w:rsid w:val="00AB3CC6"/>
    <w:rsid w:val="00AB3DB2"/>
    <w:rsid w:val="00AC3292"/>
    <w:rsid w:val="00AC35AF"/>
    <w:rsid w:val="00AD3C2C"/>
    <w:rsid w:val="00AE1221"/>
    <w:rsid w:val="00AE1880"/>
    <w:rsid w:val="00AE6857"/>
    <w:rsid w:val="00AF0A8E"/>
    <w:rsid w:val="00AF63CA"/>
    <w:rsid w:val="00B03014"/>
    <w:rsid w:val="00B078BB"/>
    <w:rsid w:val="00B100C0"/>
    <w:rsid w:val="00B12205"/>
    <w:rsid w:val="00B14E51"/>
    <w:rsid w:val="00B1620B"/>
    <w:rsid w:val="00B20FE3"/>
    <w:rsid w:val="00B21DF2"/>
    <w:rsid w:val="00B24D35"/>
    <w:rsid w:val="00B27484"/>
    <w:rsid w:val="00B35D70"/>
    <w:rsid w:val="00B36CC8"/>
    <w:rsid w:val="00B46282"/>
    <w:rsid w:val="00B547B3"/>
    <w:rsid w:val="00B60205"/>
    <w:rsid w:val="00B62098"/>
    <w:rsid w:val="00B659D7"/>
    <w:rsid w:val="00B707FF"/>
    <w:rsid w:val="00B8355F"/>
    <w:rsid w:val="00B87EEF"/>
    <w:rsid w:val="00B9058B"/>
    <w:rsid w:val="00B94807"/>
    <w:rsid w:val="00BA5AE3"/>
    <w:rsid w:val="00BA600A"/>
    <w:rsid w:val="00BB4812"/>
    <w:rsid w:val="00BB6805"/>
    <w:rsid w:val="00BC18AA"/>
    <w:rsid w:val="00BC334A"/>
    <w:rsid w:val="00BC7621"/>
    <w:rsid w:val="00BE163B"/>
    <w:rsid w:val="00BF144D"/>
    <w:rsid w:val="00BF374A"/>
    <w:rsid w:val="00BF7264"/>
    <w:rsid w:val="00BF7C3D"/>
    <w:rsid w:val="00C03424"/>
    <w:rsid w:val="00C03787"/>
    <w:rsid w:val="00C13C8E"/>
    <w:rsid w:val="00C1780E"/>
    <w:rsid w:val="00C2049C"/>
    <w:rsid w:val="00C208A2"/>
    <w:rsid w:val="00C341DB"/>
    <w:rsid w:val="00C430ED"/>
    <w:rsid w:val="00C4694C"/>
    <w:rsid w:val="00C50857"/>
    <w:rsid w:val="00C516AD"/>
    <w:rsid w:val="00C521F8"/>
    <w:rsid w:val="00C54F82"/>
    <w:rsid w:val="00C555C6"/>
    <w:rsid w:val="00C56026"/>
    <w:rsid w:val="00C60B64"/>
    <w:rsid w:val="00C61DB5"/>
    <w:rsid w:val="00C66318"/>
    <w:rsid w:val="00C73048"/>
    <w:rsid w:val="00C75F54"/>
    <w:rsid w:val="00C8015D"/>
    <w:rsid w:val="00C86780"/>
    <w:rsid w:val="00CA0260"/>
    <w:rsid w:val="00CA2DE2"/>
    <w:rsid w:val="00CA4951"/>
    <w:rsid w:val="00CA5961"/>
    <w:rsid w:val="00CA6919"/>
    <w:rsid w:val="00CB0C6D"/>
    <w:rsid w:val="00CB6185"/>
    <w:rsid w:val="00CC54BB"/>
    <w:rsid w:val="00CD04AE"/>
    <w:rsid w:val="00CD2A89"/>
    <w:rsid w:val="00CD6749"/>
    <w:rsid w:val="00CE3FFD"/>
    <w:rsid w:val="00CF535D"/>
    <w:rsid w:val="00CF7465"/>
    <w:rsid w:val="00D030FE"/>
    <w:rsid w:val="00D06405"/>
    <w:rsid w:val="00D07BD5"/>
    <w:rsid w:val="00D113F9"/>
    <w:rsid w:val="00D17D7B"/>
    <w:rsid w:val="00D20D42"/>
    <w:rsid w:val="00D21F4C"/>
    <w:rsid w:val="00D221FB"/>
    <w:rsid w:val="00D24C2A"/>
    <w:rsid w:val="00D255E4"/>
    <w:rsid w:val="00D26318"/>
    <w:rsid w:val="00D33952"/>
    <w:rsid w:val="00D34072"/>
    <w:rsid w:val="00D4046C"/>
    <w:rsid w:val="00D422C0"/>
    <w:rsid w:val="00D464D6"/>
    <w:rsid w:val="00D5000C"/>
    <w:rsid w:val="00D52CBE"/>
    <w:rsid w:val="00D54189"/>
    <w:rsid w:val="00D55C87"/>
    <w:rsid w:val="00D61E7D"/>
    <w:rsid w:val="00D902B5"/>
    <w:rsid w:val="00D9292B"/>
    <w:rsid w:val="00D95C69"/>
    <w:rsid w:val="00DB20C8"/>
    <w:rsid w:val="00DB548E"/>
    <w:rsid w:val="00DD1003"/>
    <w:rsid w:val="00DD5BC9"/>
    <w:rsid w:val="00DD7096"/>
    <w:rsid w:val="00DE0142"/>
    <w:rsid w:val="00DE1593"/>
    <w:rsid w:val="00DE1E35"/>
    <w:rsid w:val="00DE4586"/>
    <w:rsid w:val="00DE6723"/>
    <w:rsid w:val="00DE67DB"/>
    <w:rsid w:val="00DE789C"/>
    <w:rsid w:val="00DF4079"/>
    <w:rsid w:val="00DF7551"/>
    <w:rsid w:val="00E05067"/>
    <w:rsid w:val="00E111E3"/>
    <w:rsid w:val="00E114DD"/>
    <w:rsid w:val="00E14D34"/>
    <w:rsid w:val="00E22CEE"/>
    <w:rsid w:val="00E25EBF"/>
    <w:rsid w:val="00E2690E"/>
    <w:rsid w:val="00E2709E"/>
    <w:rsid w:val="00E30972"/>
    <w:rsid w:val="00E32B81"/>
    <w:rsid w:val="00E3306C"/>
    <w:rsid w:val="00E363C4"/>
    <w:rsid w:val="00E44E94"/>
    <w:rsid w:val="00E506FA"/>
    <w:rsid w:val="00E57031"/>
    <w:rsid w:val="00E63A8C"/>
    <w:rsid w:val="00E75734"/>
    <w:rsid w:val="00E75F89"/>
    <w:rsid w:val="00E81E77"/>
    <w:rsid w:val="00E87974"/>
    <w:rsid w:val="00E9426F"/>
    <w:rsid w:val="00EA130E"/>
    <w:rsid w:val="00EA7F4E"/>
    <w:rsid w:val="00EB7133"/>
    <w:rsid w:val="00EC219B"/>
    <w:rsid w:val="00EC2530"/>
    <w:rsid w:val="00EC35B9"/>
    <w:rsid w:val="00EC4D35"/>
    <w:rsid w:val="00ED73DA"/>
    <w:rsid w:val="00EF149D"/>
    <w:rsid w:val="00EF3FE6"/>
    <w:rsid w:val="00EF46B3"/>
    <w:rsid w:val="00EF7DCE"/>
    <w:rsid w:val="00F05B69"/>
    <w:rsid w:val="00F076AA"/>
    <w:rsid w:val="00F07CC8"/>
    <w:rsid w:val="00F1013A"/>
    <w:rsid w:val="00F162EA"/>
    <w:rsid w:val="00F17B11"/>
    <w:rsid w:val="00F17D2A"/>
    <w:rsid w:val="00F22B9D"/>
    <w:rsid w:val="00F2581E"/>
    <w:rsid w:val="00F27B64"/>
    <w:rsid w:val="00F30FF9"/>
    <w:rsid w:val="00F35AF8"/>
    <w:rsid w:val="00F37852"/>
    <w:rsid w:val="00F418DC"/>
    <w:rsid w:val="00F47116"/>
    <w:rsid w:val="00F54002"/>
    <w:rsid w:val="00F56D74"/>
    <w:rsid w:val="00F61851"/>
    <w:rsid w:val="00F62CD6"/>
    <w:rsid w:val="00F708B5"/>
    <w:rsid w:val="00F94884"/>
    <w:rsid w:val="00FA199F"/>
    <w:rsid w:val="00FA4FDD"/>
    <w:rsid w:val="00FA6D25"/>
    <w:rsid w:val="00FA79A9"/>
    <w:rsid w:val="00FB51FF"/>
    <w:rsid w:val="00FB7C1A"/>
    <w:rsid w:val="00FC1070"/>
    <w:rsid w:val="00FC3ED4"/>
    <w:rsid w:val="00FD0F91"/>
    <w:rsid w:val="00FD1D62"/>
    <w:rsid w:val="00FD2A39"/>
    <w:rsid w:val="00FD3228"/>
    <w:rsid w:val="00FD60DD"/>
    <w:rsid w:val="00FF2510"/>
    <w:rsid w:val="00FF6D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71FD6"/>
  <w15:chartTrackingRefBased/>
  <w15:docId w15:val="{4F475E99-7439-4388-959E-D6853233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70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nhideWhenUsed/>
    <w:qFormat/>
    <w:rsid w:val="00170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703C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703C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703C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703C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703C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703C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703C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703C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rsid w:val="001703C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703C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703C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703C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703C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703C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703C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703C9"/>
    <w:rPr>
      <w:rFonts w:eastAsiaTheme="majorEastAsia" w:cstheme="majorBidi"/>
      <w:color w:val="272727" w:themeColor="text1" w:themeTint="D8"/>
    </w:rPr>
  </w:style>
  <w:style w:type="paragraph" w:styleId="Otsikko">
    <w:name w:val="Title"/>
    <w:basedOn w:val="Normaali"/>
    <w:next w:val="Normaali"/>
    <w:link w:val="OtsikkoChar"/>
    <w:uiPriority w:val="10"/>
    <w:qFormat/>
    <w:rsid w:val="00170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703C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703C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703C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703C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703C9"/>
    <w:rPr>
      <w:i/>
      <w:iCs/>
      <w:color w:val="404040" w:themeColor="text1" w:themeTint="BF"/>
    </w:rPr>
  </w:style>
  <w:style w:type="paragraph" w:styleId="Luettelokappale">
    <w:name w:val="List Paragraph"/>
    <w:basedOn w:val="Normaali"/>
    <w:uiPriority w:val="34"/>
    <w:qFormat/>
    <w:rsid w:val="001703C9"/>
    <w:pPr>
      <w:ind w:left="720"/>
      <w:contextualSpacing/>
    </w:pPr>
  </w:style>
  <w:style w:type="character" w:styleId="Voimakaskorostus">
    <w:name w:val="Intense Emphasis"/>
    <w:basedOn w:val="Kappaleenoletusfontti"/>
    <w:uiPriority w:val="21"/>
    <w:qFormat/>
    <w:rsid w:val="001703C9"/>
    <w:rPr>
      <w:i/>
      <w:iCs/>
      <w:color w:val="0F4761" w:themeColor="accent1" w:themeShade="BF"/>
    </w:rPr>
  </w:style>
  <w:style w:type="paragraph" w:styleId="Erottuvalainaus">
    <w:name w:val="Intense Quote"/>
    <w:basedOn w:val="Normaali"/>
    <w:next w:val="Normaali"/>
    <w:link w:val="ErottuvalainausChar"/>
    <w:uiPriority w:val="30"/>
    <w:qFormat/>
    <w:rsid w:val="00170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703C9"/>
    <w:rPr>
      <w:i/>
      <w:iCs/>
      <w:color w:val="0F4761" w:themeColor="accent1" w:themeShade="BF"/>
    </w:rPr>
  </w:style>
  <w:style w:type="character" w:styleId="Erottuvaviittaus">
    <w:name w:val="Intense Reference"/>
    <w:basedOn w:val="Kappaleenoletusfontti"/>
    <w:uiPriority w:val="32"/>
    <w:qFormat/>
    <w:rsid w:val="001703C9"/>
    <w:rPr>
      <w:b/>
      <w:bCs/>
      <w:smallCaps/>
      <w:color w:val="0F4761" w:themeColor="accent1" w:themeShade="BF"/>
      <w:spacing w:val="5"/>
    </w:rPr>
  </w:style>
  <w:style w:type="paragraph" w:customStyle="1" w:styleId="Asiatekstileipteksti">
    <w:name w:val="Asiateksti/leipäteksti"/>
    <w:basedOn w:val="Normaali"/>
    <w:qFormat/>
    <w:rsid w:val="001703C9"/>
    <w:pPr>
      <w:spacing w:after="0" w:line="240" w:lineRule="auto"/>
      <w:ind w:left="1304"/>
    </w:pPr>
    <w:rPr>
      <w:rFonts w:ascii="Calibri" w:eastAsia="Times New Roman" w:hAnsi="Calibri" w:cs="Arial"/>
      <w:color w:val="000000" w:themeColor="text1"/>
      <w:kern w:val="0"/>
      <w:sz w:val="24"/>
      <w:szCs w:val="24"/>
    </w:rPr>
  </w:style>
  <w:style w:type="paragraph" w:customStyle="1" w:styleId="Merkkiluettelo">
    <w:name w:val="Merkkiluettelo"/>
    <w:basedOn w:val="Normaali"/>
    <w:next w:val="Normaali"/>
    <w:qFormat/>
    <w:rsid w:val="001703C9"/>
    <w:pPr>
      <w:numPr>
        <w:numId w:val="1"/>
      </w:numPr>
      <w:tabs>
        <w:tab w:val="num" w:pos="360"/>
      </w:tabs>
      <w:spacing w:after="0" w:line="240" w:lineRule="auto"/>
      <w:ind w:left="2384" w:firstLine="0"/>
    </w:pPr>
    <w:rPr>
      <w:rFonts w:ascii="Calibri" w:eastAsia="Times New Roman" w:hAnsi="Calibri" w:cs="Arial"/>
      <w:color w:val="000000" w:themeColor="text1"/>
      <w:kern w:val="0"/>
      <w:sz w:val="24"/>
      <w:szCs w:val="24"/>
      <w:lang w:eastAsia="fi-FI"/>
    </w:rPr>
  </w:style>
  <w:style w:type="character" w:styleId="Hyperlinkki">
    <w:name w:val="Hyperlink"/>
    <w:basedOn w:val="Kappaleenoletusfontti"/>
    <w:uiPriority w:val="99"/>
    <w:rsid w:val="001703C9"/>
    <w:rPr>
      <w:rFonts w:cs="Times New Roman"/>
      <w:color w:val="0000FF"/>
      <w:u w:val="single"/>
    </w:rPr>
  </w:style>
  <w:style w:type="character" w:styleId="Kommentinviite">
    <w:name w:val="annotation reference"/>
    <w:basedOn w:val="Kappaleenoletusfontti"/>
    <w:rsid w:val="001703C9"/>
    <w:rPr>
      <w:rFonts w:cs="Times New Roman"/>
      <w:sz w:val="16"/>
      <w:szCs w:val="16"/>
    </w:rPr>
  </w:style>
  <w:style w:type="paragraph" w:styleId="Kommentinteksti">
    <w:name w:val="annotation text"/>
    <w:basedOn w:val="Normaali"/>
    <w:link w:val="KommentintekstiChar"/>
    <w:rsid w:val="001703C9"/>
    <w:pPr>
      <w:widowControl w:val="0"/>
      <w:autoSpaceDE w:val="0"/>
      <w:autoSpaceDN w:val="0"/>
      <w:adjustRightInd w:val="0"/>
      <w:spacing w:before="120" w:after="0" w:line="240" w:lineRule="auto"/>
    </w:pPr>
    <w:rPr>
      <w:rFonts w:ascii="Arial" w:eastAsia="Times New Roman" w:hAnsi="Arial" w:cs="Times New Roman"/>
      <w:kern w:val="0"/>
      <w:szCs w:val="20"/>
      <w:lang w:eastAsia="fi-FI"/>
    </w:rPr>
  </w:style>
  <w:style w:type="character" w:customStyle="1" w:styleId="KommentintekstiChar">
    <w:name w:val="Kommentin teksti Char"/>
    <w:basedOn w:val="Kappaleenoletusfontti"/>
    <w:link w:val="Kommentinteksti"/>
    <w:rsid w:val="001703C9"/>
    <w:rPr>
      <w:rFonts w:ascii="Arial" w:eastAsia="Times New Roman" w:hAnsi="Arial" w:cs="Times New Roman"/>
      <w:kern w:val="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od.ec.europa.eu/system/files/2021-07/biosafety_fh_mc_tech-guide-doc_listeria-in-rte-foods_en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od.ec.europa.eu/system/files/2021-07/biosafety_fh_mc_tech-guide-doc_listeria-in-rte-foods_en_0.pdf" TargetMode="External"/><Relationship Id="rId5" Type="http://schemas.openxmlformats.org/officeDocument/2006/relationships/hyperlink" Target="https://food.ec.europa.eu/system/files/2016-10/biosafety_fh_mc_guidance_document_lysteri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1080</Words>
  <Characters>8750</Characters>
  <Application>Microsoft Office Word</Application>
  <DocSecurity>0</DocSecurity>
  <Lines>72</Lines>
  <Paragraphs>19</Paragraphs>
  <ScaleCrop>false</ScaleCrop>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Tolvanen Riina (Ruokavirasto)</dc:creator>
  <cp:keywords/>
  <dc:description/>
  <cp:lastModifiedBy>Tolvanen Riina (Ruokavirasto)</cp:lastModifiedBy>
  <cp:revision>1</cp:revision>
  <dcterms:created xsi:type="dcterms:W3CDTF">2026-05-15T07:54:00Z</dcterms:created>
  <dcterms:modified xsi:type="dcterms:W3CDTF">2026-05-15T08:03:00Z</dcterms:modified>
</cp:coreProperties>
</file>