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E1E96" w14:textId="67A57B51" w:rsidR="00026FBF" w:rsidRDefault="005D0C24" w:rsidP="00026FBF">
      <w:pPr>
        <w:pStyle w:val="Otsikko1"/>
        <w:numPr>
          <w:ilvl w:val="0"/>
          <w:numId w:val="0"/>
        </w:numPr>
        <w:ind w:left="432" w:hanging="432"/>
      </w:pPr>
      <w:bookmarkStart w:id="0" w:name="_Toc56069592"/>
      <w:r>
        <w:rPr>
          <w:caps w:val="0"/>
        </w:rPr>
        <w:t xml:space="preserve">Elintarvikeketjun monivuotinen kansallinen valvontasuunnitelma </w:t>
      </w:r>
      <w:proofErr w:type="gramStart"/>
      <w:r w:rsidR="00E432EB">
        <w:rPr>
          <w:caps w:val="0"/>
        </w:rPr>
        <w:t>202</w:t>
      </w:r>
      <w:r w:rsidR="000762EF">
        <w:rPr>
          <w:caps w:val="0"/>
        </w:rPr>
        <w:t>1</w:t>
      </w:r>
      <w:r>
        <w:rPr>
          <w:caps w:val="0"/>
        </w:rPr>
        <w:t>-</w:t>
      </w:r>
      <w:r w:rsidR="00E432EB">
        <w:rPr>
          <w:caps w:val="0"/>
        </w:rPr>
        <w:t>202</w:t>
      </w:r>
      <w:r w:rsidR="000651E2">
        <w:rPr>
          <w:caps w:val="0"/>
        </w:rPr>
        <w:t>4</w:t>
      </w:r>
      <w:proofErr w:type="gramEnd"/>
      <w:r>
        <w:rPr>
          <w:caps w:val="0"/>
        </w:rPr>
        <w:br/>
        <w:t>Osa 2: Toimenpiteet valvonnan päämäärien saavuttamiseksi – valvonnan painopisteet</w:t>
      </w:r>
      <w:r w:rsidR="000762EF">
        <w:rPr>
          <w:caps w:val="0"/>
        </w:rPr>
        <w:t>: päivitys vuodelle 2022</w:t>
      </w:r>
    </w:p>
    <w:p w14:paraId="4BB822F4" w14:textId="77777777" w:rsidR="00026FBF" w:rsidRDefault="005D0C24" w:rsidP="00026FBF">
      <w:pPr>
        <w:pStyle w:val="Otsikko1"/>
        <w:numPr>
          <w:ilvl w:val="0"/>
          <w:numId w:val="0"/>
        </w:numPr>
        <w:ind w:left="432" w:hanging="432"/>
      </w:pPr>
      <w:r>
        <w:rPr>
          <w:caps w:val="0"/>
        </w:rPr>
        <w:t>Eläinten terveys ja hyvinvointi</w:t>
      </w:r>
      <w:bookmarkEnd w:id="0"/>
    </w:p>
    <w:tbl>
      <w:tblPr>
        <w:tblStyle w:val="Ruudukkotaulukko4-korostus5"/>
        <w:tblW w:w="5000" w:type="pct"/>
        <w:tblLook w:val="04A0" w:firstRow="1" w:lastRow="0" w:firstColumn="1" w:lastColumn="0" w:noHBand="0" w:noVBand="1"/>
      </w:tblPr>
      <w:tblGrid>
        <w:gridCol w:w="1673"/>
        <w:gridCol w:w="2575"/>
        <w:gridCol w:w="2835"/>
        <w:gridCol w:w="3401"/>
        <w:gridCol w:w="3510"/>
      </w:tblGrid>
      <w:tr w:rsidR="000651E2" w:rsidRPr="00FB579D" w14:paraId="3D1348BD" w14:textId="155845EC" w:rsidTr="00676F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7221C8E6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KEHITTÄMISTEEMA</w:t>
            </w:r>
          </w:p>
        </w:tc>
        <w:tc>
          <w:tcPr>
            <w:tcW w:w="920" w:type="pct"/>
          </w:tcPr>
          <w:p w14:paraId="15250CBA" w14:textId="77777777" w:rsidR="000651E2" w:rsidRPr="00FB579D" w:rsidRDefault="000651E2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PAINOPISTE</w:t>
            </w:r>
          </w:p>
        </w:tc>
        <w:tc>
          <w:tcPr>
            <w:tcW w:w="1013" w:type="pct"/>
          </w:tcPr>
          <w:p w14:paraId="6A5085D6" w14:textId="77777777" w:rsidR="000651E2" w:rsidRPr="00FB579D" w:rsidRDefault="000651E2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2022</w:t>
            </w:r>
          </w:p>
        </w:tc>
        <w:tc>
          <w:tcPr>
            <w:tcW w:w="1215" w:type="pct"/>
          </w:tcPr>
          <w:p w14:paraId="2E2B40C7" w14:textId="77777777" w:rsidR="000651E2" w:rsidRPr="00FB579D" w:rsidRDefault="000651E2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254" w:type="pct"/>
          </w:tcPr>
          <w:p w14:paraId="4C60EA8F" w14:textId="77777777" w:rsidR="000651E2" w:rsidRPr="00FB579D" w:rsidRDefault="000651E2" w:rsidP="00280B1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2024</w:t>
            </w:r>
          </w:p>
        </w:tc>
      </w:tr>
      <w:tr w:rsidR="000651E2" w:rsidRPr="00FB579D" w14:paraId="12E743F3" w14:textId="0650434B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27DA5DDE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Tiedolla johtaminen ja digitalisaatio</w:t>
            </w:r>
          </w:p>
        </w:tc>
        <w:tc>
          <w:tcPr>
            <w:tcW w:w="920" w:type="pct"/>
          </w:tcPr>
          <w:p w14:paraId="7F4FD401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ELTE-tietojärjestelmän vaiheittainen käyttöönotto</w:t>
            </w:r>
          </w:p>
        </w:tc>
        <w:tc>
          <w:tcPr>
            <w:tcW w:w="1013" w:type="pct"/>
          </w:tcPr>
          <w:p w14:paraId="6AFD9154" w14:textId="3CDD189F" w:rsidR="000651E2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ELTE1-osion käytön vakiinnuttaminen</w:t>
            </w:r>
          </w:p>
          <w:p w14:paraId="0E21B411" w14:textId="3CCEF79A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Lääkekäyttötiedon 1. keräysvuosi. Järjestelmän toiminnan ja tietojen oikeellisuuden varmistaminen</w:t>
            </w:r>
          </w:p>
        </w:tc>
        <w:tc>
          <w:tcPr>
            <w:tcW w:w="1215" w:type="pct"/>
          </w:tcPr>
          <w:p w14:paraId="3E05AEBE" w14:textId="4FBE3779" w:rsidR="000651E2" w:rsidRPr="00FB579D" w:rsidRDefault="005257BA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L</w:t>
            </w:r>
            <w:r w:rsidR="000651E2"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ääkekäyttötiedon 1. EU:n edellyttämä keräysvuosi; raportointi 2024</w:t>
            </w:r>
          </w:p>
          <w:p w14:paraId="7B0D7C32" w14:textId="2266C974" w:rsidR="000651E2" w:rsidRPr="000651E2" w:rsidRDefault="000651E2" w:rsidP="000651E2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trike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4F628DD0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2832112B" w14:textId="33EAD666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4D267D85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58AA32A7" w14:textId="77777777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ELSU-tietojärjestelmä (epäilyyn perustuva ja ilmoituksen- ja luvanvaraisten kohteiden valvonta)</w:t>
            </w:r>
          </w:p>
        </w:tc>
        <w:tc>
          <w:tcPr>
            <w:tcW w:w="1013" w:type="pct"/>
          </w:tcPr>
          <w:p w14:paraId="2C17F318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Koulutus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, 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br/>
              <w:t xml:space="preserve">Käyttöönotto,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kunnat</w:t>
            </w:r>
          </w:p>
        </w:tc>
        <w:tc>
          <w:tcPr>
            <w:tcW w:w="1215" w:type="pct"/>
          </w:tcPr>
          <w:p w14:paraId="2DD5B570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Käyttö jatkuu</w:t>
            </w:r>
          </w:p>
        </w:tc>
        <w:tc>
          <w:tcPr>
            <w:tcW w:w="1254" w:type="pct"/>
          </w:tcPr>
          <w:p w14:paraId="7A9E5BBB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248F23C2" w14:textId="6B7AE966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23C95865" w14:textId="77777777" w:rsidR="000651E2" w:rsidRPr="00FB579D" w:rsidRDefault="000651E2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7E50CFE3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</w:tcPr>
          <w:p w14:paraId="3CE4AF32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2C21EF0D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2CDC900E" w14:textId="77777777" w:rsidR="000651E2" w:rsidRPr="00FB579D" w:rsidRDefault="000651E2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Vuoden 2024 toimenpiteet täsmentyvät myöhemmin.</w:t>
            </w:r>
          </w:p>
        </w:tc>
      </w:tr>
      <w:tr w:rsidR="000651E2" w:rsidRPr="00FB579D" w14:paraId="2D0E4773" w14:textId="1FB92BBA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225B8592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Valmius ja kriisinhallinta</w:t>
            </w:r>
          </w:p>
        </w:tc>
        <w:tc>
          <w:tcPr>
            <w:tcW w:w="920" w:type="pct"/>
          </w:tcPr>
          <w:p w14:paraId="2C1FFF71" w14:textId="77777777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ASF-valmiusharjoituksissa havaitut kehittämiskohteet</w:t>
            </w:r>
          </w:p>
        </w:tc>
        <w:tc>
          <w:tcPr>
            <w:tcW w:w="1013" w:type="pct"/>
          </w:tcPr>
          <w:p w14:paraId="63F953AF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Valmiusharjoituksessa havaitun kehittämiskohteen työstäminen (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, Ruokavirasto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)</w:t>
            </w:r>
          </w:p>
          <w:p w14:paraId="6F0C3D55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4399E123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015ECDEA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38629E8F" w14:textId="31B9DCC8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17D7DE86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4F806E31" w14:textId="042E7BE1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Pandemiavalmiuden kehittäminen – koronapandemian opit </w:t>
            </w:r>
            <w:r w:rsidR="00121E5B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ympäristöterveydenhuollossa</w:t>
            </w:r>
          </w:p>
        </w:tc>
        <w:tc>
          <w:tcPr>
            <w:tcW w:w="1013" w:type="pct"/>
          </w:tcPr>
          <w:p w14:paraId="265E3A6C" w14:textId="06FC6EEB" w:rsidR="000651E2" w:rsidRPr="00FB579D" w:rsidRDefault="000651E2" w:rsidP="00026FBF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Koordinoi, kokoaa tiedon ja ohjaa: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Ruokavirasto</w:t>
            </w:r>
            <w:r w:rsidR="00121E5B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, Valvira</w:t>
            </w:r>
          </w:p>
          <w:p w14:paraId="07F3F5FD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Osallistuu työryhmiin, onnistumisen arviointiin ja valmiuden kehittämiseen: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MMM, Ruokavirasto, tulli, puolustusvoimat,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, kunnat</w:t>
            </w:r>
          </w:p>
        </w:tc>
        <w:tc>
          <w:tcPr>
            <w:tcW w:w="1215" w:type="pct"/>
          </w:tcPr>
          <w:p w14:paraId="35309997" w14:textId="7FA25E38" w:rsidR="000651E2" w:rsidRPr="002013B0" w:rsidRDefault="000651E2" w:rsidP="00026FBF">
            <w:pPr>
              <w:numPr>
                <w:ilvl w:val="0"/>
                <w:numId w:val="3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Koordinoi ja ohjaa: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Ruokavirasto</w:t>
            </w:r>
            <w:r w:rsidR="00121E5B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, Valvira</w:t>
            </w:r>
          </w:p>
          <w:p w14:paraId="248115EA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Ottaa käyttöön sovitut toimintatavat: </w:t>
            </w: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MMM, Ruokavirasto, tulli,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, puolustusvoimat, kunnat</w:t>
            </w:r>
          </w:p>
        </w:tc>
        <w:tc>
          <w:tcPr>
            <w:tcW w:w="1254" w:type="pct"/>
          </w:tcPr>
          <w:p w14:paraId="0732869B" w14:textId="74691C1E" w:rsidR="000651E2" w:rsidRPr="00570252" w:rsidRDefault="000651E2" w:rsidP="00026FBF">
            <w:pPr>
              <w:pStyle w:val="Luettelokappale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570252">
              <w:rPr>
                <w:sz w:val="18"/>
                <w:szCs w:val="18"/>
              </w:rPr>
              <w:t>Arvioi</w:t>
            </w:r>
            <w:proofErr w:type="spellEnd"/>
            <w:r w:rsidRPr="00570252">
              <w:rPr>
                <w:sz w:val="18"/>
                <w:szCs w:val="18"/>
              </w:rPr>
              <w:t xml:space="preserve"> </w:t>
            </w:r>
            <w:proofErr w:type="spellStart"/>
            <w:r w:rsidRPr="00570252">
              <w:rPr>
                <w:sz w:val="18"/>
                <w:szCs w:val="18"/>
              </w:rPr>
              <w:t>painopistetyön</w:t>
            </w:r>
            <w:proofErr w:type="spellEnd"/>
            <w:r w:rsidRPr="00570252">
              <w:rPr>
                <w:sz w:val="18"/>
                <w:szCs w:val="18"/>
              </w:rPr>
              <w:t xml:space="preserve"> </w:t>
            </w:r>
            <w:proofErr w:type="spellStart"/>
            <w:r w:rsidRPr="00570252">
              <w:rPr>
                <w:sz w:val="18"/>
                <w:szCs w:val="18"/>
              </w:rPr>
              <w:t>onnistumista</w:t>
            </w:r>
            <w:proofErr w:type="spellEnd"/>
            <w:r w:rsidR="00121E5B">
              <w:rPr>
                <w:sz w:val="18"/>
                <w:szCs w:val="18"/>
              </w:rPr>
              <w:t xml:space="preserve">: </w:t>
            </w:r>
            <w:proofErr w:type="spellStart"/>
            <w:r w:rsidR="00121E5B" w:rsidRPr="00121E5B">
              <w:rPr>
                <w:b/>
                <w:bCs/>
                <w:sz w:val="18"/>
                <w:szCs w:val="18"/>
              </w:rPr>
              <w:t>kaikki</w:t>
            </w:r>
            <w:proofErr w:type="spellEnd"/>
          </w:p>
        </w:tc>
      </w:tr>
      <w:tr w:rsidR="000651E2" w:rsidRPr="00FB579D" w14:paraId="0BAD7372" w14:textId="3925D77A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3A699AE8" w14:textId="77777777" w:rsidR="000651E2" w:rsidRPr="00FB579D" w:rsidRDefault="000651E2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006890A6" w14:textId="77777777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</w:tcPr>
          <w:p w14:paraId="00627D74" w14:textId="77777777" w:rsidR="000651E2" w:rsidRPr="00FB579D" w:rsidRDefault="000651E2" w:rsidP="00280B1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5D738402" w14:textId="77777777" w:rsidR="000651E2" w:rsidRPr="00FB579D" w:rsidRDefault="000651E2" w:rsidP="00280B10">
            <w:pPr>
              <w:ind w:left="72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339C3BC3" w14:textId="77777777" w:rsidR="000651E2" w:rsidRPr="00FB579D" w:rsidRDefault="000651E2" w:rsidP="00280B10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Vuoden 2024 toimenpiteet täsmentyvät myöhemmin.</w:t>
            </w:r>
          </w:p>
        </w:tc>
      </w:tr>
      <w:tr w:rsidR="000651E2" w:rsidRPr="00FB579D" w14:paraId="760864BC" w14:textId="49D6D6F9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18329A75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Uuden lainsäädännön toimeenpano</w:t>
            </w:r>
          </w:p>
        </w:tc>
        <w:tc>
          <w:tcPr>
            <w:tcW w:w="920" w:type="pct"/>
          </w:tcPr>
          <w:p w14:paraId="685C3D43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EU:n eläinterveyssäännöstön 2019/429 (AHL) ja muun eläintautilainsäädännön toimeenpano</w:t>
            </w:r>
          </w:p>
        </w:tc>
        <w:tc>
          <w:tcPr>
            <w:tcW w:w="1013" w:type="pct"/>
          </w:tcPr>
          <w:p w14:paraId="3E1F956B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Ruokavirasto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kouluttaa ja ohjeistaa</w:t>
            </w:r>
          </w:p>
          <w:p w14:paraId="5CB3F40C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kouluttavat alueillaan </w:t>
            </w:r>
          </w:p>
          <w:p w14:paraId="7EA669D1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ja kunnaneläinlääkärit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; uusien 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lastRenderedPageBreak/>
              <w:t>vaatimusten käytännön toteutus</w:t>
            </w:r>
          </w:p>
        </w:tc>
        <w:tc>
          <w:tcPr>
            <w:tcW w:w="1215" w:type="pct"/>
          </w:tcPr>
          <w:p w14:paraId="5136619F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lastRenderedPageBreak/>
              <w:t>Ruokavirasto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kouluttaa ja ohjeistaa</w:t>
            </w:r>
          </w:p>
          <w:p w14:paraId="2E4C03C7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kouluttavat alueillaan</w:t>
            </w:r>
          </w:p>
          <w:p w14:paraId="3539BC2A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ja kunnaneläinlääkärit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; uusien vaatimusten käytännön toteutus</w:t>
            </w:r>
          </w:p>
        </w:tc>
        <w:tc>
          <w:tcPr>
            <w:tcW w:w="1254" w:type="pct"/>
          </w:tcPr>
          <w:p w14:paraId="02F46D0E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5F0A5478" w14:textId="30B7A092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3B0D7869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0ED12525" w14:textId="77777777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EU:n eläinterveyssäännöstön 2019/429 (AHL) ja muun eläinten merkinnän ja rekisteröinnin lainsäädännön toimeenpano</w:t>
            </w:r>
          </w:p>
        </w:tc>
        <w:tc>
          <w:tcPr>
            <w:tcW w:w="1013" w:type="pct"/>
          </w:tcPr>
          <w:p w14:paraId="10EDC058" w14:textId="734A692D" w:rsidR="000651E2" w:rsidRDefault="000651E2" w:rsidP="00026FBF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Ruokavirasto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laatii ohjeita ja 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kouluttaa</w:t>
            </w: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: </w:t>
            </w:r>
            <w:proofErr w:type="spellStart"/>
            <w:r w:rsidR="00A94C2C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avi</w:t>
            </w:r>
            <w:proofErr w:type="spellEnd"/>
            <w:r w:rsidRPr="000651E2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, EL</w:t>
            </w:r>
            <w:r w:rsidR="00A94C2C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Y-keskus</w:t>
            </w:r>
          </w:p>
          <w:p w14:paraId="08B1DD2F" w14:textId="720C1DB5" w:rsidR="00A94C2C" w:rsidRPr="000651E2" w:rsidRDefault="00A94C2C" w:rsidP="00026FBF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Viestintä</w:t>
            </w:r>
          </w:p>
          <w:p w14:paraId="0BF8B3A2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kouluttavat alueillaan</w:t>
            </w:r>
          </w:p>
          <w:p w14:paraId="5F100226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Ruokavirasto, ELY-keskukset,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ja kunnaneläinlääkärit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; uusien vaatimusten käytännön toteutus</w:t>
            </w:r>
          </w:p>
        </w:tc>
        <w:tc>
          <w:tcPr>
            <w:tcW w:w="1215" w:type="pct"/>
          </w:tcPr>
          <w:p w14:paraId="042F63C5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Uusien vaatimusten vakiinnuttaminen</w:t>
            </w:r>
          </w:p>
        </w:tc>
        <w:tc>
          <w:tcPr>
            <w:tcW w:w="1254" w:type="pct"/>
          </w:tcPr>
          <w:p w14:paraId="291328A0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18BC7C09" w14:textId="5083B219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2A577156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77A3BFBD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EU:n eläinlääkeasetuksen tammikuussa 2022 alkavaan soveltamiseen valmistautuminen</w:t>
            </w:r>
          </w:p>
        </w:tc>
        <w:tc>
          <w:tcPr>
            <w:tcW w:w="1013" w:type="pct"/>
          </w:tcPr>
          <w:p w14:paraId="1091251A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Ruokaviraston ohjeet valmiina vuoden alussa</w:t>
            </w:r>
          </w:p>
          <w:p w14:paraId="2B4912C4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Uuden lainsäädännön mukaisen valvonnan käynnistäminen</w:t>
            </w:r>
          </w:p>
          <w:p w14:paraId="2D61A526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kouluttavat eläinlääkäreitä alueillaan</w:t>
            </w:r>
          </w:p>
          <w:p w14:paraId="16096246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Viestintä</w:t>
            </w:r>
          </w:p>
          <w:p w14:paraId="010BC524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3B96A1E9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Avit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kouluttavat eläinlääkäreitä alueillaan</w:t>
            </w:r>
          </w:p>
          <w:p w14:paraId="1CCE4B74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Viestintä</w:t>
            </w:r>
          </w:p>
          <w:p w14:paraId="31315DFC" w14:textId="77777777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Uuden lainsäädännön mukaisen valvonnan vakiinnuttaminen</w:t>
            </w:r>
          </w:p>
          <w:p w14:paraId="4DEF52E7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714C5742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2353E9EB" w14:textId="280DD898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11EF1EE4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1D80DE75" w14:textId="0491C225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Eläinten hyvinvointilain toimeenpano</w:t>
            </w:r>
          </w:p>
        </w:tc>
        <w:tc>
          <w:tcPr>
            <w:tcW w:w="1013" w:type="pct"/>
          </w:tcPr>
          <w:p w14:paraId="76615809" w14:textId="7A6C0A24" w:rsidR="000651E2" w:rsidRPr="00A94C2C" w:rsidRDefault="000651E2" w:rsidP="00A94C2C">
            <w:pPr>
              <w:numPr>
                <w:ilvl w:val="0"/>
                <w:numId w:val="2"/>
              </w:numPr>
              <w:spacing w:after="160"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 ja </w:t>
            </w: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: ohjeistus ja koulutus</w:t>
            </w:r>
          </w:p>
        </w:tc>
        <w:tc>
          <w:tcPr>
            <w:tcW w:w="1215" w:type="pct"/>
          </w:tcPr>
          <w:p w14:paraId="0F7B4FE7" w14:textId="4D4B2CAA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Uusien vaatimusten </w:t>
            </w:r>
            <w:r w:rsidR="00A94C2C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toteutus alkaa</w:t>
            </w:r>
          </w:p>
        </w:tc>
        <w:tc>
          <w:tcPr>
            <w:tcW w:w="1254" w:type="pct"/>
          </w:tcPr>
          <w:p w14:paraId="08B50380" w14:textId="13594E61" w:rsidR="000651E2" w:rsidRPr="00A94C2C" w:rsidRDefault="00A94C2C" w:rsidP="00A94C2C">
            <w:pPr>
              <w:pStyle w:val="Luettelokappale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</w:pPr>
            <w:proofErr w:type="spellStart"/>
            <w:r w:rsidRPr="00A94C2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Uusien</w:t>
            </w:r>
            <w:proofErr w:type="spellEnd"/>
            <w:r w:rsidRPr="00A94C2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A94C2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vaatimusten</w:t>
            </w:r>
            <w:proofErr w:type="spellEnd"/>
            <w:r w:rsidRPr="00A94C2C"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  <w:lang w:eastAsia="en-US"/>
              </w:rPr>
              <w:t>vakiinnuttaminen</w:t>
            </w:r>
            <w:proofErr w:type="spellEnd"/>
          </w:p>
        </w:tc>
      </w:tr>
      <w:tr w:rsidR="000651E2" w:rsidRPr="00FB579D" w14:paraId="1DE6CE27" w14:textId="145FA492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65419A7C" w14:textId="77777777" w:rsidR="000651E2" w:rsidRPr="00FB579D" w:rsidRDefault="000651E2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20D07724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</w:tcPr>
          <w:p w14:paraId="19060FA2" w14:textId="77777777" w:rsidR="000651E2" w:rsidRPr="00FB579D" w:rsidRDefault="000651E2" w:rsidP="00280B10">
            <w:pPr>
              <w:spacing w:after="160" w:line="259" w:lineRule="auto"/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18928468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47EE595B" w14:textId="77777777" w:rsidR="000651E2" w:rsidRPr="00FB579D" w:rsidRDefault="000651E2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Vuoden 2024 toimenpiteet täsmentyvät myöhemmin.</w:t>
            </w:r>
          </w:p>
        </w:tc>
      </w:tr>
      <w:tr w:rsidR="000651E2" w:rsidRPr="00FB579D" w14:paraId="28959932" w14:textId="13D93354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3A7F7CB2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Erityiset painopisteet/ tehostamistarvetta aiempien tulosten perusteella</w:t>
            </w:r>
          </w:p>
        </w:tc>
        <w:tc>
          <w:tcPr>
            <w:tcW w:w="920" w:type="pct"/>
          </w:tcPr>
          <w:p w14:paraId="47DF79ED" w14:textId="77777777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Eläinlääkäreiden lääkitsemisvalvonta</w:t>
            </w:r>
          </w:p>
        </w:tc>
        <w:tc>
          <w:tcPr>
            <w:tcW w:w="1013" w:type="pct"/>
          </w:tcPr>
          <w:p w14:paraId="5C8F2505" w14:textId="047C5D59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valvoo tehostetusti</w:t>
            </w: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ja käyttää siinä hyväksi ELKE-järjestelmää</w:t>
            </w:r>
          </w:p>
        </w:tc>
        <w:tc>
          <w:tcPr>
            <w:tcW w:w="1215" w:type="pct"/>
          </w:tcPr>
          <w:p w14:paraId="7A8C1D9C" w14:textId="1A75B09E" w:rsidR="000651E2" w:rsidRPr="00FB579D" w:rsidRDefault="000651E2" w:rsidP="00026FBF">
            <w:pPr>
              <w:numPr>
                <w:ilvl w:val="0"/>
                <w:numId w:val="2"/>
              </w:num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proofErr w:type="spellStart"/>
            <w:r w:rsidRPr="002013B0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jatkaa 2022 aloitettua valvontaa</w:t>
            </w:r>
          </w:p>
        </w:tc>
        <w:tc>
          <w:tcPr>
            <w:tcW w:w="1254" w:type="pct"/>
          </w:tcPr>
          <w:p w14:paraId="6C58DFFB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4479DB68" w14:textId="7CC0F7B6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744AA19B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6E26A693" w14:textId="4DD7D5D3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Vuoden 2020 salmonella- ja </w:t>
            </w:r>
            <w:proofErr w:type="spellStart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tilarehustamopainopisteiden</w:t>
            </w:r>
            <w:proofErr w:type="spellEnd"/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jatkaminen</w:t>
            </w: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, jos painopistetarkastusten </w:t>
            </w:r>
            <w:proofErr w:type="spellStart"/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tilarehustamoita</w:t>
            </w:r>
            <w:proofErr w:type="spellEnd"/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jää vielä käymättä syksyllä 2021</w:t>
            </w:r>
          </w:p>
        </w:tc>
        <w:tc>
          <w:tcPr>
            <w:tcW w:w="1013" w:type="pct"/>
          </w:tcPr>
          <w:p w14:paraId="5D167F18" w14:textId="77777777" w:rsidR="000651E2" w:rsidRDefault="000651E2" w:rsidP="00160027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CC6C8D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Ruokavirasto </w:t>
            </w:r>
            <w:r w:rsidRPr="0037546E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ja</w:t>
            </w:r>
            <w:r w:rsidRPr="00CC6C8D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 avi</w:t>
            </w: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ohjaa</w:t>
            </w:r>
          </w:p>
          <w:p w14:paraId="2630A519" w14:textId="1B45BAA8" w:rsidR="000651E2" w:rsidRPr="00160027" w:rsidRDefault="000651E2" w:rsidP="003B3A34">
            <w:pPr>
              <w:numPr>
                <w:ilvl w:val="0"/>
                <w:numId w:val="2"/>
              </w:num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160027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Avi</w:t>
            </w:r>
            <w:r w:rsidRPr="00160027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ja </w:t>
            </w:r>
            <w:r w:rsidRPr="00160027">
              <w:rPr>
                <w:rFonts w:ascii="Calibri" w:eastAsia="Calibri" w:hAnsi="Calibri" w:cs="Times New Roman"/>
                <w:b/>
                <w:bCs/>
                <w:color w:val="auto"/>
                <w:sz w:val="18"/>
                <w:szCs w:val="18"/>
                <w:lang w:eastAsia="en-US"/>
              </w:rPr>
              <w:t>kunta</w:t>
            </w:r>
            <w:r w:rsidRPr="00160027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 xml:space="preserve"> toteuttaa</w:t>
            </w:r>
          </w:p>
        </w:tc>
        <w:tc>
          <w:tcPr>
            <w:tcW w:w="1215" w:type="pct"/>
          </w:tcPr>
          <w:p w14:paraId="333A6E59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63A823FF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2EE3CE3F" w14:textId="240D0EC8" w:rsidTr="00676F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11E30298" w14:textId="77777777" w:rsidR="000651E2" w:rsidRPr="00FB579D" w:rsidRDefault="000651E2" w:rsidP="00280B10">
            <w:pP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4CE74494" w14:textId="5AD386D1" w:rsidR="000651E2" w:rsidRPr="00FB579D" w:rsidRDefault="000651E2" w:rsidP="0028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 w:rsidRPr="00FB579D"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Avi-kohtainen painopiste – aihe, joka tarvitsee alueella erityistä panostusta (esim. maidon antibioottijäämät)</w:t>
            </w:r>
          </w:p>
        </w:tc>
        <w:tc>
          <w:tcPr>
            <w:tcW w:w="1013" w:type="pct"/>
          </w:tcPr>
          <w:p w14:paraId="79C4BE0F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0BBC4C40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51C5DE09" w14:textId="77777777" w:rsidR="000651E2" w:rsidRPr="00FB579D" w:rsidRDefault="000651E2" w:rsidP="00280B10">
            <w:pPr>
              <w:ind w:left="36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</w:tr>
      <w:tr w:rsidR="000651E2" w:rsidRPr="00FB579D" w14:paraId="0C0BFF0F" w14:textId="3667D938" w:rsidTr="00676F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8" w:type="pct"/>
          </w:tcPr>
          <w:p w14:paraId="746C0B98" w14:textId="77777777" w:rsidR="000651E2" w:rsidRPr="00FB579D" w:rsidRDefault="000651E2" w:rsidP="00280B10">
            <w:pPr>
              <w:rPr>
                <w:rFonts w:ascii="Calibri" w:eastAsia="Calibri" w:hAnsi="Calibri" w:cs="Times New Roman"/>
                <w:b w:val="0"/>
                <w:bCs w:val="0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20" w:type="pct"/>
          </w:tcPr>
          <w:p w14:paraId="7005B5B6" w14:textId="77777777" w:rsidR="000651E2" w:rsidRPr="00FB579D" w:rsidRDefault="000651E2" w:rsidP="0028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013" w:type="pct"/>
          </w:tcPr>
          <w:p w14:paraId="2518D621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15" w:type="pct"/>
          </w:tcPr>
          <w:p w14:paraId="44DB7E5D" w14:textId="77777777" w:rsidR="000651E2" w:rsidRPr="00FB579D" w:rsidRDefault="000651E2" w:rsidP="00280B10">
            <w:pPr>
              <w:ind w:left="36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54" w:type="pct"/>
          </w:tcPr>
          <w:p w14:paraId="338B8F7A" w14:textId="77777777" w:rsidR="000651E2" w:rsidRPr="00FB579D" w:rsidRDefault="000651E2" w:rsidP="00280B10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Times New Roman"/>
                <w:color w:val="auto"/>
                <w:sz w:val="18"/>
                <w:szCs w:val="18"/>
                <w:lang w:eastAsia="en-US"/>
              </w:rPr>
              <w:t>Vuoden 2024 toimenpiteet täsmentyvät myöhemmin.</w:t>
            </w:r>
          </w:p>
        </w:tc>
      </w:tr>
    </w:tbl>
    <w:p w14:paraId="12CC4197" w14:textId="77777777" w:rsidR="006377B4" w:rsidRDefault="006377B4"/>
    <w:sectPr w:rsidR="006377B4" w:rsidSect="00026FBF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66307"/>
    <w:multiLevelType w:val="hybridMultilevel"/>
    <w:tmpl w:val="C4DA60D4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6A23ED"/>
    <w:multiLevelType w:val="hybridMultilevel"/>
    <w:tmpl w:val="D3FAA2B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E5D58"/>
    <w:multiLevelType w:val="hybridMultilevel"/>
    <w:tmpl w:val="03D6758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7E2BE4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FBF"/>
    <w:rsid w:val="00026FBF"/>
    <w:rsid w:val="000651E2"/>
    <w:rsid w:val="000762EF"/>
    <w:rsid w:val="000D0DA1"/>
    <w:rsid w:val="00121E5B"/>
    <w:rsid w:val="00160027"/>
    <w:rsid w:val="001714B3"/>
    <w:rsid w:val="001D7ACD"/>
    <w:rsid w:val="00236AA3"/>
    <w:rsid w:val="003B3A34"/>
    <w:rsid w:val="00405AEC"/>
    <w:rsid w:val="00492527"/>
    <w:rsid w:val="005257BA"/>
    <w:rsid w:val="005D0C24"/>
    <w:rsid w:val="00637001"/>
    <w:rsid w:val="006377B4"/>
    <w:rsid w:val="00676F82"/>
    <w:rsid w:val="00A15FDC"/>
    <w:rsid w:val="00A94C2C"/>
    <w:rsid w:val="00D04B2C"/>
    <w:rsid w:val="00E432EB"/>
    <w:rsid w:val="00F4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8E90"/>
  <w15:chartTrackingRefBased/>
  <w15:docId w15:val="{C0DE75F4-1A13-4C10-9840-FE245F1D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26FBF"/>
    <w:pPr>
      <w:spacing w:after="0" w:line="240" w:lineRule="auto"/>
    </w:pPr>
    <w:rPr>
      <w:color w:val="000000" w:themeColor="text1"/>
      <w:sz w:val="24"/>
      <w:szCs w:val="24"/>
      <w:lang w:eastAsia="fi-FI"/>
    </w:rPr>
  </w:style>
  <w:style w:type="paragraph" w:styleId="Otsikko1">
    <w:name w:val="heading 1"/>
    <w:basedOn w:val="Normaali"/>
    <w:next w:val="Normaali"/>
    <w:link w:val="Otsikko1Char1"/>
    <w:uiPriority w:val="9"/>
    <w:qFormat/>
    <w:rsid w:val="00026FBF"/>
    <w:pPr>
      <w:keepNext/>
      <w:numPr>
        <w:numId w:val="1"/>
      </w:numPr>
      <w:spacing w:before="240" w:after="60"/>
      <w:outlineLvl w:val="0"/>
    </w:pPr>
    <w:rPr>
      <w:rFonts w:ascii="Calibri" w:eastAsia="Times New Roman" w:hAnsi="Calibri" w:cs="Arial"/>
      <w:bCs/>
      <w:caps/>
      <w:color w:val="44546A" w:themeColor="text2"/>
      <w:kern w:val="32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qFormat/>
    <w:rsid w:val="00026FBF"/>
    <w:pPr>
      <w:keepNext/>
      <w:numPr>
        <w:ilvl w:val="1"/>
        <w:numId w:val="1"/>
      </w:numPr>
      <w:spacing w:before="240" w:after="60"/>
      <w:outlineLvl w:val="1"/>
    </w:pPr>
    <w:rPr>
      <w:rFonts w:ascii="Calibri" w:eastAsia="Times New Roman" w:hAnsi="Calibri" w:cs="Arial"/>
      <w:bCs/>
      <w:iCs/>
      <w:color w:val="44546A" w:themeColor="text2"/>
      <w:sz w:val="28"/>
      <w:szCs w:val="28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026FBF"/>
    <w:pPr>
      <w:keepNext/>
      <w:keepLines/>
      <w:numPr>
        <w:ilvl w:val="2"/>
        <w:numId w:val="1"/>
      </w:numPr>
      <w:spacing w:before="40"/>
      <w:outlineLvl w:val="2"/>
    </w:pPr>
    <w:rPr>
      <w:rFonts w:ascii="Calibri" w:eastAsiaTheme="majorEastAsia" w:hAnsi="Calibri" w:cstheme="majorBidi"/>
      <w:color w:val="auto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026FB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026FBF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lang w:val="en-US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026FBF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lang w:val="en-US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026FBF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026FBF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026FBF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uiPriority w:val="9"/>
    <w:rsid w:val="00026FB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i-FI"/>
    </w:rPr>
  </w:style>
  <w:style w:type="character" w:customStyle="1" w:styleId="Otsikko2Char">
    <w:name w:val="Otsikko 2 Char"/>
    <w:basedOn w:val="Kappaleenoletusfontti"/>
    <w:link w:val="Otsikko2"/>
    <w:uiPriority w:val="9"/>
    <w:rsid w:val="00026FBF"/>
    <w:rPr>
      <w:rFonts w:ascii="Calibri" w:eastAsia="Times New Roman" w:hAnsi="Calibri" w:cs="Arial"/>
      <w:bCs/>
      <w:iCs/>
      <w:color w:val="44546A" w:themeColor="text2"/>
      <w:sz w:val="28"/>
      <w:szCs w:val="2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026FBF"/>
    <w:rPr>
      <w:rFonts w:ascii="Calibri" w:eastAsiaTheme="majorEastAsia" w:hAnsi="Calibri" w:cstheme="majorBidi"/>
      <w:sz w:val="24"/>
      <w:szCs w:val="24"/>
      <w:lang w:eastAsia="fi-FI"/>
    </w:rPr>
  </w:style>
  <w:style w:type="character" w:customStyle="1" w:styleId="Otsikko4Char">
    <w:name w:val="Otsikko 4 Char"/>
    <w:basedOn w:val="Kappaleenoletusfontti"/>
    <w:link w:val="Otsikko4"/>
    <w:uiPriority w:val="9"/>
    <w:rsid w:val="00026FBF"/>
    <w:rPr>
      <w:rFonts w:asciiTheme="majorHAnsi" w:eastAsiaTheme="majorEastAsia" w:hAnsiTheme="majorHAnsi" w:cstheme="majorBidi"/>
      <w:i/>
      <w:iCs/>
      <w:color w:val="000000" w:themeColor="text1"/>
      <w:sz w:val="24"/>
      <w:szCs w:val="24"/>
      <w:lang w:eastAsia="fi-FI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026FBF"/>
    <w:rPr>
      <w:rFonts w:asciiTheme="majorHAnsi" w:eastAsiaTheme="majorEastAsia" w:hAnsiTheme="majorHAnsi" w:cstheme="majorBidi"/>
      <w:color w:val="1F3763" w:themeColor="accent1" w:themeShade="7F"/>
      <w:szCs w:val="24"/>
      <w:lang w:val="en-US" w:eastAsia="fi-FI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026FBF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val="en-US" w:eastAsia="fi-FI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026FB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fi-FI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026FB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fi-FI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026FB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fi-FI"/>
    </w:rPr>
  </w:style>
  <w:style w:type="character" w:customStyle="1" w:styleId="Otsikko1Char1">
    <w:name w:val="Otsikko 1 Char1"/>
    <w:link w:val="Otsikko1"/>
    <w:uiPriority w:val="9"/>
    <w:rsid w:val="00026FBF"/>
    <w:rPr>
      <w:rFonts w:ascii="Calibri" w:eastAsia="Times New Roman" w:hAnsi="Calibri" w:cs="Arial"/>
      <w:bCs/>
      <w:caps/>
      <w:color w:val="44546A" w:themeColor="text2"/>
      <w:kern w:val="32"/>
      <w:sz w:val="32"/>
      <w:szCs w:val="32"/>
      <w:lang w:eastAsia="fi-FI"/>
    </w:rPr>
  </w:style>
  <w:style w:type="paragraph" w:styleId="Luettelokappale">
    <w:name w:val="List Paragraph"/>
    <w:basedOn w:val="Normaali"/>
    <w:uiPriority w:val="34"/>
    <w:qFormat/>
    <w:rsid w:val="00026FBF"/>
    <w:pPr>
      <w:spacing w:line="276" w:lineRule="auto"/>
      <w:ind w:left="720"/>
      <w:contextualSpacing/>
    </w:pPr>
    <w:rPr>
      <w:color w:val="auto"/>
      <w:sz w:val="22"/>
      <w:lang w:val="en-US"/>
    </w:rPr>
  </w:style>
  <w:style w:type="table" w:styleId="Ruudukkotaulukko4-korostus5">
    <w:name w:val="Grid Table 4 Accent 5"/>
    <w:basedOn w:val="Normaalitaulukko"/>
    <w:uiPriority w:val="49"/>
    <w:rsid w:val="00026FB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Seliteteksti">
    <w:name w:val="Balloon Text"/>
    <w:basedOn w:val="Normaali"/>
    <w:link w:val="SelitetekstiChar"/>
    <w:uiPriority w:val="99"/>
    <w:semiHidden/>
    <w:unhideWhenUsed/>
    <w:rsid w:val="00160027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60027"/>
    <w:rPr>
      <w:rFonts w:ascii="Segoe UI" w:hAnsi="Segoe UI" w:cs="Segoe UI"/>
      <w:color w:val="000000" w:themeColor="text1"/>
      <w:sz w:val="18"/>
      <w:szCs w:val="18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492527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92527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92527"/>
    <w:rPr>
      <w:color w:val="000000" w:themeColor="text1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92527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92527"/>
    <w:rPr>
      <w:b/>
      <w:bCs/>
      <w:color w:val="000000" w:themeColor="text1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365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Valvonnan painopisteet: eläinten terveys ja hyvinvointi</vt:lpstr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Valvonnan painopisteet: eläinten terveys ja hyvinvointi</dc:title>
  <dc:subject/>
  <dc:creator>Jauhiainen Katriina (Ruokavirasto)</dc:creator>
  <cp:keywords/>
  <dc:description/>
  <cp:lastModifiedBy>Jestoi Marika (Ruokavirasto)</cp:lastModifiedBy>
  <cp:revision>4</cp:revision>
  <dcterms:created xsi:type="dcterms:W3CDTF">2021-09-29T07:39:00Z</dcterms:created>
  <dcterms:modified xsi:type="dcterms:W3CDTF">2021-09-29T11:06:00Z</dcterms:modified>
</cp:coreProperties>
</file>