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ADF5F" w14:textId="58F976A1" w:rsidR="00026FBF" w:rsidRDefault="005D0C24" w:rsidP="00026FBF">
      <w:pPr>
        <w:pStyle w:val="Otsikko1"/>
        <w:numPr>
          <w:ilvl w:val="0"/>
          <w:numId w:val="0"/>
        </w:numPr>
        <w:ind w:left="432" w:hanging="432"/>
      </w:pPr>
      <w:bookmarkStart w:id="0" w:name="_Toc56069592"/>
      <w:r>
        <w:rPr>
          <w:caps w:val="0"/>
        </w:rPr>
        <w:t>Fleråriga nationella tillsynsplanen för livsmedelskedjan 2021–2024</w:t>
      </w:r>
      <w:r>
        <w:rPr>
          <w:caps w:val="0"/>
        </w:rPr>
        <w:br/>
        <w:t>Del 2: Åtgärder för att nå målen för tillsynen – prioriteringar inom tillsynen</w:t>
      </w:r>
      <w:r w:rsidR="005E5905">
        <w:rPr>
          <w:caps w:val="0"/>
        </w:rPr>
        <w:t>: uppdateringar för år 2022</w:t>
      </w:r>
    </w:p>
    <w:p w14:paraId="1187FE74" w14:textId="77777777" w:rsidR="00026FBF" w:rsidRDefault="005D0C24" w:rsidP="00026FBF">
      <w:pPr>
        <w:pStyle w:val="Otsikko1"/>
        <w:numPr>
          <w:ilvl w:val="0"/>
          <w:numId w:val="0"/>
        </w:numPr>
        <w:ind w:left="432" w:hanging="432"/>
      </w:pPr>
      <w:r>
        <w:rPr>
          <w:caps w:val="0"/>
        </w:rPr>
        <w:t>Djurens hälsa och välfärd</w:t>
      </w:r>
      <w:bookmarkEnd w:id="0"/>
    </w:p>
    <w:tbl>
      <w:tblPr>
        <w:tblStyle w:val="Ruudukkotaulukko4-korostus5"/>
        <w:tblW w:w="5164" w:type="pct"/>
        <w:tblLook w:val="04A0" w:firstRow="1" w:lastRow="0" w:firstColumn="1" w:lastColumn="0" w:noHBand="0" w:noVBand="1"/>
      </w:tblPr>
      <w:tblGrid>
        <w:gridCol w:w="1767"/>
        <w:gridCol w:w="2626"/>
        <w:gridCol w:w="3967"/>
        <w:gridCol w:w="3119"/>
        <w:gridCol w:w="2974"/>
      </w:tblGrid>
      <w:tr w:rsidR="00240A1A" w:rsidRPr="00FB579D" w14:paraId="1DF18866" w14:textId="77777777" w:rsidTr="00240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293971CC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UTVECKLINGSTEMA</w:t>
            </w:r>
          </w:p>
        </w:tc>
        <w:tc>
          <w:tcPr>
            <w:tcW w:w="908" w:type="pct"/>
          </w:tcPr>
          <w:p w14:paraId="1BCF67CB" w14:textId="77777777" w:rsidR="001400D1" w:rsidRPr="00FB579D" w:rsidRDefault="001400D1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PRIORITERING</w:t>
            </w:r>
          </w:p>
        </w:tc>
        <w:tc>
          <w:tcPr>
            <w:tcW w:w="1372" w:type="pct"/>
          </w:tcPr>
          <w:p w14:paraId="2F5631B5" w14:textId="77777777" w:rsidR="001400D1" w:rsidRPr="00FB579D" w:rsidRDefault="001400D1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2022</w:t>
            </w:r>
          </w:p>
        </w:tc>
        <w:tc>
          <w:tcPr>
            <w:tcW w:w="1079" w:type="pct"/>
          </w:tcPr>
          <w:p w14:paraId="18BDB1EA" w14:textId="77777777" w:rsidR="001400D1" w:rsidRPr="00FB579D" w:rsidRDefault="001400D1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2023</w:t>
            </w:r>
          </w:p>
        </w:tc>
        <w:tc>
          <w:tcPr>
            <w:tcW w:w="1029" w:type="pct"/>
          </w:tcPr>
          <w:p w14:paraId="405F2A96" w14:textId="77777777" w:rsidR="001400D1" w:rsidRPr="00FB579D" w:rsidRDefault="001400D1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2024</w:t>
            </w:r>
          </w:p>
        </w:tc>
      </w:tr>
      <w:tr w:rsidR="00240A1A" w:rsidRPr="00FB579D" w14:paraId="530BA3C1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560A649B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Ledning genom information och digitalisering</w:t>
            </w:r>
          </w:p>
        </w:tc>
        <w:tc>
          <w:tcPr>
            <w:tcW w:w="908" w:type="pct"/>
          </w:tcPr>
          <w:p w14:paraId="67C266F2" w14:textId="77777777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Stegvist ibruktagande av informationssystemet ELTE</w:t>
            </w:r>
          </w:p>
        </w:tc>
        <w:tc>
          <w:tcPr>
            <w:tcW w:w="1372" w:type="pct"/>
          </w:tcPr>
          <w:p w14:paraId="6FF31CBC" w14:textId="77777777" w:rsidR="001400D1" w:rsidRDefault="001400D1" w:rsidP="001400D1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Befästning av bruket för ELTE1-sektion</w:t>
            </w:r>
          </w:p>
          <w:p w14:paraId="28E3F11A" w14:textId="7714B1BA" w:rsidR="001400D1" w:rsidRPr="00FB579D" w:rsidRDefault="001400D1" w:rsidP="001400D1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Insamling av uppgifter om användningen av läkemedel, första året. Systemets funktion och uppgifternas riktighet kontrolleras</w:t>
            </w:r>
          </w:p>
        </w:tc>
        <w:tc>
          <w:tcPr>
            <w:tcW w:w="1079" w:type="pct"/>
          </w:tcPr>
          <w:p w14:paraId="1A4219AF" w14:textId="44B78B95" w:rsidR="001400D1" w:rsidRPr="001400D1" w:rsidRDefault="001400D1" w:rsidP="001400D1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Insamling av uppgifter om användningen av läkemedel enligt krav från EU, första året, rapportering 2024</w:t>
            </w:r>
          </w:p>
        </w:tc>
        <w:tc>
          <w:tcPr>
            <w:tcW w:w="1029" w:type="pct"/>
          </w:tcPr>
          <w:p w14:paraId="74E0117B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10E8163E" w14:textId="77777777" w:rsidTr="00240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0095F790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1446F7A0" w14:textId="77777777" w:rsidR="001400D1" w:rsidRPr="00FB579D" w:rsidRDefault="001400D1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Informationssystemet ELSU (tillsyn på grund av misstanke samt tillsyn över anmälnings- och tillståndspliktiga objekt)</w:t>
            </w:r>
          </w:p>
        </w:tc>
        <w:tc>
          <w:tcPr>
            <w:tcW w:w="1372" w:type="pct"/>
          </w:tcPr>
          <w:p w14:paraId="569056E3" w14:textId="77777777" w:rsidR="001400D1" w:rsidRPr="001400D1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Utbildning: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Livsmedelsverket, regionförvaltningsverken)</w:t>
            </w:r>
          </w:p>
          <w:p w14:paraId="065F4946" w14:textId="35F0F6CC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Ibruktagande: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kommunerna</w:t>
            </w:r>
          </w:p>
        </w:tc>
        <w:tc>
          <w:tcPr>
            <w:tcW w:w="1079" w:type="pct"/>
          </w:tcPr>
          <w:p w14:paraId="108AA77C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Användningen fortsätter</w:t>
            </w:r>
          </w:p>
        </w:tc>
        <w:tc>
          <w:tcPr>
            <w:tcW w:w="1029" w:type="pct"/>
          </w:tcPr>
          <w:p w14:paraId="32480B59" w14:textId="77777777" w:rsidR="001400D1" w:rsidRPr="00FB579D" w:rsidRDefault="001400D1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36256BD1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32A9FFAC" w14:textId="77777777" w:rsidR="001400D1" w:rsidRPr="00FB579D" w:rsidRDefault="001400D1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3EC23756" w14:textId="77777777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72" w:type="pct"/>
          </w:tcPr>
          <w:p w14:paraId="75FA8188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</w:tcPr>
          <w:p w14:paraId="264843C8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3D5D0F6C" w14:textId="77777777" w:rsidR="001400D1" w:rsidRPr="00FB579D" w:rsidRDefault="001400D1" w:rsidP="00280B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Åtgärderna som ska vidtas 2024 preciseras senare.</w:t>
            </w:r>
          </w:p>
        </w:tc>
      </w:tr>
      <w:tr w:rsidR="00240A1A" w:rsidRPr="00FB579D" w14:paraId="6BCAE19D" w14:textId="77777777" w:rsidTr="00240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54A5F2A3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Beredskap och krishantering</w:t>
            </w:r>
          </w:p>
        </w:tc>
        <w:tc>
          <w:tcPr>
            <w:tcW w:w="908" w:type="pct"/>
          </w:tcPr>
          <w:p w14:paraId="7D5A3C84" w14:textId="77777777" w:rsidR="001400D1" w:rsidRPr="00FB579D" w:rsidRDefault="001400D1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Utvecklingsområden som observerats under beredskapsövningar för ASF</w:t>
            </w:r>
          </w:p>
        </w:tc>
        <w:tc>
          <w:tcPr>
            <w:tcW w:w="1372" w:type="pct"/>
          </w:tcPr>
          <w:p w14:paraId="4E6BEFC4" w14:textId="6F7B3B18" w:rsidR="001400D1" w:rsidRPr="00240A1A" w:rsidRDefault="001400D1" w:rsidP="00240A1A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Bearbetning av ett utvecklingsområde som observerats under beredskapsövning: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regionförvaltningsverken, Livsmedelsverket</w:t>
            </w:r>
          </w:p>
        </w:tc>
        <w:tc>
          <w:tcPr>
            <w:tcW w:w="1079" w:type="pct"/>
          </w:tcPr>
          <w:p w14:paraId="1DDA1E7A" w14:textId="77777777" w:rsidR="001400D1" w:rsidRPr="00FB579D" w:rsidRDefault="001400D1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53CFF3DA" w14:textId="77777777" w:rsidR="001400D1" w:rsidRPr="00FB579D" w:rsidRDefault="001400D1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715372E4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613E21B2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279F859A" w14:textId="33C8D8E5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Utveckling av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pandemiberedskapen – lärdomar från </w:t>
            </w:r>
            <w:proofErr w:type="spellStart"/>
            <w:r>
              <w:rPr>
                <w:rFonts w:ascii="Calibri" w:hAnsi="Calibri"/>
                <w:color w:val="auto"/>
                <w:sz w:val="18"/>
                <w:szCs w:val="18"/>
              </w:rPr>
              <w:t>coronaepidemin</w:t>
            </w:r>
            <w:proofErr w:type="spellEnd"/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inom miljö- och hälsoskydd</w:t>
            </w:r>
          </w:p>
        </w:tc>
        <w:tc>
          <w:tcPr>
            <w:tcW w:w="1372" w:type="pct"/>
          </w:tcPr>
          <w:p w14:paraId="06B35ACD" w14:textId="1D5A564B" w:rsidR="001400D1" w:rsidRPr="00FB579D" w:rsidRDefault="001400D1" w:rsidP="00026FBF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Samordnar, sammanställer information och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handleder: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Livsmedelsverket, Valvira</w:t>
            </w:r>
          </w:p>
          <w:p w14:paraId="29AF2059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Deltar i arbetsgrupper, bedömning av utfallet och utveckling av beredskapen: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JSM, Livsmedelsverket, Tullen, Försvarsmakten, regionförvaltningsverken, kommunerna</w:t>
            </w:r>
          </w:p>
        </w:tc>
        <w:tc>
          <w:tcPr>
            <w:tcW w:w="1079" w:type="pct"/>
          </w:tcPr>
          <w:p w14:paraId="3E78C0D0" w14:textId="39F268CB" w:rsidR="001400D1" w:rsidRPr="002013B0" w:rsidRDefault="001400D1" w:rsidP="00026FBF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Samordnar och handleder: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Livsmedelsverket, Valvira</w:t>
            </w:r>
          </w:p>
          <w:p w14:paraId="3989B42B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Tar i bruk överenskomna tillvägagångssätt: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JSM, Livsmedelsverket, Tullen, regionförvaltningsverken, Försvarsmakten, kommunerna</w:t>
            </w:r>
          </w:p>
        </w:tc>
        <w:tc>
          <w:tcPr>
            <w:tcW w:w="1029" w:type="pct"/>
          </w:tcPr>
          <w:p w14:paraId="72D1AFD5" w14:textId="63ABB19E" w:rsidR="001400D1" w:rsidRPr="00570252" w:rsidRDefault="001400D1" w:rsidP="00026FBF">
            <w:pPr>
              <w:pStyle w:val="Luettelokappal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Bedömer utfallet av arbetet med </w:t>
            </w:r>
            <w:r>
              <w:rPr>
                <w:sz w:val="18"/>
                <w:szCs w:val="18"/>
              </w:rPr>
              <w:t>prioriteringarna (</w:t>
            </w:r>
            <w:r w:rsidRPr="001400D1">
              <w:rPr>
                <w:b/>
                <w:bCs/>
                <w:sz w:val="18"/>
                <w:szCs w:val="18"/>
              </w:rPr>
              <w:t xml:space="preserve">alla </w:t>
            </w:r>
            <w:r w:rsidRPr="001400D1">
              <w:rPr>
                <w:b/>
                <w:bCs/>
                <w:sz w:val="18"/>
                <w:szCs w:val="18"/>
              </w:rPr>
              <w:t>myndigheterna</w:t>
            </w:r>
            <w:r>
              <w:rPr>
                <w:sz w:val="18"/>
                <w:szCs w:val="18"/>
              </w:rPr>
              <w:t>)</w:t>
            </w:r>
          </w:p>
        </w:tc>
      </w:tr>
      <w:tr w:rsidR="00240A1A" w:rsidRPr="00FB579D" w14:paraId="17472DB0" w14:textId="77777777" w:rsidTr="00240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296B800D" w14:textId="77777777" w:rsidR="001400D1" w:rsidRPr="00FB579D" w:rsidRDefault="001400D1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1C1C49DE" w14:textId="77777777" w:rsidR="001400D1" w:rsidRPr="00FB579D" w:rsidRDefault="001400D1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72" w:type="pct"/>
          </w:tcPr>
          <w:p w14:paraId="3A1C15E0" w14:textId="77777777" w:rsidR="001400D1" w:rsidRPr="00FB579D" w:rsidRDefault="001400D1" w:rsidP="00280B1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</w:tcPr>
          <w:p w14:paraId="627FF31C" w14:textId="77777777" w:rsidR="001400D1" w:rsidRPr="00FB579D" w:rsidRDefault="001400D1" w:rsidP="00280B1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619E76FA" w14:textId="77777777" w:rsidR="001400D1" w:rsidRPr="00FB579D" w:rsidRDefault="001400D1" w:rsidP="00280B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Åtgärderna som ska vidtas 2024 preciseras senare.</w:t>
            </w:r>
          </w:p>
        </w:tc>
      </w:tr>
      <w:tr w:rsidR="00240A1A" w:rsidRPr="00FB579D" w14:paraId="163DE1D6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20B07CC0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Tillämpning av ny lagstiftning</w:t>
            </w:r>
          </w:p>
        </w:tc>
        <w:tc>
          <w:tcPr>
            <w:tcW w:w="908" w:type="pct"/>
          </w:tcPr>
          <w:p w14:paraId="2DAE93FD" w14:textId="77777777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Tillämpning av EU:s </w:t>
            </w:r>
            <w:proofErr w:type="spellStart"/>
            <w:r>
              <w:rPr>
                <w:rFonts w:ascii="Calibri" w:hAnsi="Calibri"/>
                <w:color w:val="auto"/>
                <w:sz w:val="18"/>
                <w:szCs w:val="18"/>
              </w:rPr>
              <w:t>djurhälsolag</w:t>
            </w:r>
            <w:proofErr w:type="spellEnd"/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2019/429 (AHL) och annan lagstiftning som berör djursjukdomar</w:t>
            </w:r>
          </w:p>
        </w:tc>
        <w:tc>
          <w:tcPr>
            <w:tcW w:w="1372" w:type="pct"/>
          </w:tcPr>
          <w:p w14:paraId="027D733B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utbildar och ger anvisningar</w:t>
            </w:r>
          </w:p>
          <w:p w14:paraId="21BA6338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Regionförvaltningsverken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sköter utbildningen i sin region </w:t>
            </w:r>
          </w:p>
          <w:p w14:paraId="067D2B73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Livsmedelsverket, regionförvaltningsverken och kommunalveterinärerna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; inför de nya kraven i praktiken</w:t>
            </w:r>
          </w:p>
        </w:tc>
        <w:tc>
          <w:tcPr>
            <w:tcW w:w="1079" w:type="pct"/>
          </w:tcPr>
          <w:p w14:paraId="0AF88591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utbildar och ger anvisningar</w:t>
            </w:r>
          </w:p>
          <w:p w14:paraId="7B28B449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Regionförvaltningsverken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sköter utbildningen i sin region</w:t>
            </w:r>
          </w:p>
          <w:p w14:paraId="63993F97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Livsmedelsverket, regionförvaltningsverken och kommunalveterinärerna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; inför de nya kraven i praktiken</w:t>
            </w:r>
          </w:p>
        </w:tc>
        <w:tc>
          <w:tcPr>
            <w:tcW w:w="1029" w:type="pct"/>
          </w:tcPr>
          <w:p w14:paraId="0929736D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17734231" w14:textId="77777777" w:rsidTr="00240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5F0D7BEC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2357FAE2" w14:textId="77777777" w:rsidR="001400D1" w:rsidRPr="00FB579D" w:rsidRDefault="001400D1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Tillämpning av EU:s </w:t>
            </w:r>
            <w:proofErr w:type="spellStart"/>
            <w:r>
              <w:rPr>
                <w:rFonts w:ascii="Calibri" w:hAnsi="Calibri"/>
                <w:color w:val="auto"/>
                <w:sz w:val="18"/>
                <w:szCs w:val="18"/>
              </w:rPr>
              <w:t>djurhälsolag</w:t>
            </w:r>
            <w:proofErr w:type="spellEnd"/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2019/429 (AHL) och annan lagstiftning som berör märkning och registrering av djur</w:t>
            </w:r>
          </w:p>
        </w:tc>
        <w:tc>
          <w:tcPr>
            <w:tcW w:w="1372" w:type="pct"/>
          </w:tcPr>
          <w:p w14:paraId="53F46EE3" w14:textId="15ADAA2B" w:rsidR="001400D1" w:rsidRPr="00FB579D" w:rsidRDefault="001400D1" w:rsidP="00026FBF">
            <w:pPr>
              <w:numPr>
                <w:ilvl w:val="0"/>
                <w:numId w:val="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gör upp anvisningar och utbildar: regionförvaltningsverke</w:t>
            </w:r>
            <w:r w:rsidR="003C0ED5">
              <w:rPr>
                <w:rFonts w:ascii="Calibri" w:hAnsi="Calibri"/>
                <w:color w:val="auto"/>
                <w:sz w:val="18"/>
                <w:szCs w:val="18"/>
              </w:rPr>
              <w:t>n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, NTM-centralen</w:t>
            </w:r>
          </w:p>
          <w:p w14:paraId="365E8007" w14:textId="751C8E26" w:rsidR="003C0ED5" w:rsidRPr="003C0ED5" w:rsidRDefault="003C0ED5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lastRenderedPageBreak/>
              <w:t>Kommunikation</w:t>
            </w:r>
          </w:p>
          <w:p w14:paraId="634EE4B6" w14:textId="257FE41A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Regionförvaltningsverken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sköter utbildningen i sin region</w:t>
            </w:r>
          </w:p>
          <w:p w14:paraId="64A909AF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Livsmedelsverket, NTM-centralerna, regionförvaltningsverken och kommunalveterinärerna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; inför de nya kraven i praktiken</w:t>
            </w:r>
          </w:p>
        </w:tc>
        <w:tc>
          <w:tcPr>
            <w:tcW w:w="1079" w:type="pct"/>
          </w:tcPr>
          <w:p w14:paraId="43E56A2C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lastRenderedPageBreak/>
              <w:t>Befästande av de nya kraven</w:t>
            </w:r>
          </w:p>
        </w:tc>
        <w:tc>
          <w:tcPr>
            <w:tcW w:w="1029" w:type="pct"/>
          </w:tcPr>
          <w:p w14:paraId="5326ED87" w14:textId="77777777" w:rsidR="001400D1" w:rsidRPr="00FB579D" w:rsidRDefault="001400D1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468C23E6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3BBF05BA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2A4B85B1" w14:textId="77777777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Förberedelse för tillämpningen av EU:s förordning om veterinärmedicinska läkemedel, som inleds i januari 2022</w:t>
            </w:r>
          </w:p>
        </w:tc>
        <w:tc>
          <w:tcPr>
            <w:tcW w:w="1372" w:type="pct"/>
          </w:tcPr>
          <w:p w14:paraId="6A269CF9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Livsmedelsverkets anvisningar klara i början av året</w:t>
            </w:r>
          </w:p>
          <w:p w14:paraId="6660FCA8" w14:textId="32C3B39C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Start av tillsynen enligt den nya lagstiftningen</w:t>
            </w:r>
          </w:p>
          <w:p w14:paraId="31C9B111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Regionförvaltningsverken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sköter utbildningen av veterinärer i sin region</w:t>
            </w:r>
          </w:p>
          <w:p w14:paraId="46C132E7" w14:textId="5E35481E" w:rsidR="001400D1" w:rsidRPr="00240A1A" w:rsidRDefault="001400D1" w:rsidP="00240A1A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Kommunikation</w:t>
            </w:r>
          </w:p>
        </w:tc>
        <w:tc>
          <w:tcPr>
            <w:tcW w:w="1079" w:type="pct"/>
          </w:tcPr>
          <w:p w14:paraId="7CCA93AB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Regionförvaltningsverken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sköter utbildningen av veterinärer i sin region</w:t>
            </w:r>
          </w:p>
          <w:p w14:paraId="028FF977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Kommunikation</w:t>
            </w:r>
          </w:p>
          <w:p w14:paraId="686204E6" w14:textId="3428C57A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Befästande av tillsynen enligt den nya lagstiftningen</w:t>
            </w:r>
          </w:p>
          <w:p w14:paraId="1362CE04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50862D7E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71B125B3" w14:textId="77777777" w:rsidTr="00240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094A0254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774806D6" w14:textId="4265FF26" w:rsidR="001400D1" w:rsidRPr="00FB579D" w:rsidRDefault="001400D1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Tillämpning av lagen om djurvälfärd</w:t>
            </w:r>
          </w:p>
        </w:tc>
        <w:tc>
          <w:tcPr>
            <w:tcW w:w="1372" w:type="pct"/>
          </w:tcPr>
          <w:p w14:paraId="1D61A745" w14:textId="6AC78DA4" w:rsidR="001400D1" w:rsidRPr="003C0ED5" w:rsidRDefault="001400D1" w:rsidP="003C0ED5">
            <w:pPr>
              <w:numPr>
                <w:ilvl w:val="0"/>
                <w:numId w:val="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Livsmedelsverket och regionförvaltningsverket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: anvisningar och utbildning</w:t>
            </w:r>
          </w:p>
        </w:tc>
        <w:tc>
          <w:tcPr>
            <w:tcW w:w="1079" w:type="pct"/>
          </w:tcPr>
          <w:p w14:paraId="465ABB3D" w14:textId="60D4989C" w:rsidR="001400D1" w:rsidRPr="003C0ED5" w:rsidRDefault="001400D1" w:rsidP="003C0ED5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Införande av de nya kraven</w:t>
            </w:r>
            <w:r w:rsidR="003C0ED5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 börja</w:t>
            </w:r>
            <w:r w:rsidR="003C0ED5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r</w:t>
            </w:r>
          </w:p>
        </w:tc>
        <w:tc>
          <w:tcPr>
            <w:tcW w:w="1029" w:type="pct"/>
          </w:tcPr>
          <w:p w14:paraId="21CDDD57" w14:textId="58BCF0C5" w:rsidR="001400D1" w:rsidRPr="003C0ED5" w:rsidRDefault="001400D1" w:rsidP="003C0ED5">
            <w:pPr>
              <w:pStyle w:val="Luettelokappal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3C0ED5">
              <w:rPr>
                <w:rFonts w:ascii="Calibri" w:hAnsi="Calibri"/>
                <w:sz w:val="18"/>
                <w:szCs w:val="18"/>
              </w:rPr>
              <w:t>Befästande av de nya kraven</w:t>
            </w:r>
          </w:p>
        </w:tc>
      </w:tr>
      <w:tr w:rsidR="00240A1A" w:rsidRPr="00FB579D" w14:paraId="71AD35C0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34002EBA" w14:textId="77777777" w:rsidR="001400D1" w:rsidRPr="00FB579D" w:rsidRDefault="001400D1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060D623A" w14:textId="77777777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72" w:type="pct"/>
          </w:tcPr>
          <w:p w14:paraId="5D8FBE8F" w14:textId="77777777" w:rsidR="001400D1" w:rsidRPr="00FB579D" w:rsidRDefault="001400D1" w:rsidP="00280B10">
            <w:pPr>
              <w:spacing w:after="160" w:line="259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</w:tcPr>
          <w:p w14:paraId="6E8E4CF6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642B717A" w14:textId="77777777" w:rsidR="001400D1" w:rsidRPr="00FB579D" w:rsidRDefault="001400D1" w:rsidP="00280B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Åtgärderna som ska vidtas 2024 preciseras senare.</w:t>
            </w:r>
          </w:p>
        </w:tc>
      </w:tr>
      <w:tr w:rsidR="00240A1A" w:rsidRPr="00FB579D" w14:paraId="2262A9D1" w14:textId="77777777" w:rsidTr="00240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1CF3FE30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Särskilda prioriteringar/behov av effektivering utifrån tidigare resultat</w:t>
            </w:r>
          </w:p>
        </w:tc>
        <w:tc>
          <w:tcPr>
            <w:tcW w:w="908" w:type="pct"/>
          </w:tcPr>
          <w:p w14:paraId="576B3F98" w14:textId="77777777" w:rsidR="001400D1" w:rsidRPr="00FB579D" w:rsidRDefault="001400D1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Veterinärernas övervakning av medicinering</w:t>
            </w:r>
          </w:p>
        </w:tc>
        <w:tc>
          <w:tcPr>
            <w:tcW w:w="1372" w:type="pct"/>
          </w:tcPr>
          <w:p w14:paraId="12282A6D" w14:textId="44384DA8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Regionförvaltningsverket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skärper tillsynen och utnyttjar ELKE-systemet</w:t>
            </w:r>
          </w:p>
        </w:tc>
        <w:tc>
          <w:tcPr>
            <w:tcW w:w="1079" w:type="pct"/>
          </w:tcPr>
          <w:p w14:paraId="29F05A23" w14:textId="77777777" w:rsidR="001400D1" w:rsidRPr="00FB579D" w:rsidRDefault="001400D1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Regionförvaltningsverket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fortsätter med tillsynen</w:t>
            </w:r>
          </w:p>
        </w:tc>
        <w:tc>
          <w:tcPr>
            <w:tcW w:w="1029" w:type="pct"/>
          </w:tcPr>
          <w:p w14:paraId="04BEAF95" w14:textId="77777777" w:rsidR="001400D1" w:rsidRPr="00FB579D" w:rsidRDefault="001400D1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6F5037DE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45F0C2AB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4068F250" w14:textId="45A5631D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Fortsatt kontroll av prioriteringarna från 2020, salmonella och fodercentraler på gårdar – om tillsynen på fodercentralen</w:t>
            </w:r>
            <w:r w:rsidR="003C0ED5">
              <w:rPr>
                <w:rFonts w:ascii="Calibri" w:hAnsi="Calibri"/>
                <w:color w:val="auto"/>
                <w:sz w:val="18"/>
                <w:szCs w:val="18"/>
              </w:rPr>
              <w:t xml:space="preserve"> på gårdar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kan inte beslutas </w:t>
            </w:r>
            <w:r w:rsidR="003C0ED5">
              <w:rPr>
                <w:rFonts w:ascii="Calibri" w:hAnsi="Calibri"/>
                <w:color w:val="auto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hösten 2021 </w:t>
            </w:r>
          </w:p>
        </w:tc>
        <w:tc>
          <w:tcPr>
            <w:tcW w:w="1372" w:type="pct"/>
          </w:tcPr>
          <w:p w14:paraId="071FE184" w14:textId="247B90C1" w:rsidR="001400D1" w:rsidRPr="003C0ED5" w:rsidRDefault="001400D1" w:rsidP="0004267D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Livsmedelsverket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och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regionförvaltningsverke</w:t>
            </w:r>
            <w:r w:rsidR="003C0ED5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n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handleder</w:t>
            </w:r>
          </w:p>
          <w:p w14:paraId="6A054AF1" w14:textId="23AFF0A1" w:rsidR="001400D1" w:rsidRPr="003C0ED5" w:rsidRDefault="001400D1" w:rsidP="003C0ED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04267D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Regionförvaltningsverke</w:t>
            </w:r>
            <w:r w:rsidR="003C0ED5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n</w:t>
            </w:r>
            <w:r w:rsidRPr="0004267D">
              <w:rPr>
                <w:rFonts w:ascii="Calibri" w:hAnsi="Calibri"/>
                <w:color w:val="auto"/>
                <w:sz w:val="18"/>
                <w:szCs w:val="18"/>
              </w:rPr>
              <w:t xml:space="preserve"> och </w:t>
            </w:r>
            <w:r w:rsidRPr="0004267D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kommune</w:t>
            </w:r>
            <w:r w:rsidR="003C0ED5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rna</w:t>
            </w:r>
            <w:r w:rsidRPr="0004267D">
              <w:rPr>
                <w:rFonts w:ascii="Calibri" w:hAnsi="Calibri"/>
                <w:color w:val="auto"/>
                <w:sz w:val="18"/>
                <w:szCs w:val="18"/>
              </w:rPr>
              <w:t xml:space="preserve"> genomför</w:t>
            </w:r>
          </w:p>
        </w:tc>
        <w:tc>
          <w:tcPr>
            <w:tcW w:w="1079" w:type="pct"/>
          </w:tcPr>
          <w:p w14:paraId="6818F26A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2018B7CF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525E5B48" w14:textId="77777777" w:rsidTr="00240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737C3E46" w14:textId="77777777" w:rsidR="001400D1" w:rsidRPr="00FB579D" w:rsidRDefault="001400D1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006E02BD" w14:textId="2FAF0E75" w:rsidR="001400D1" w:rsidRPr="00FB579D" w:rsidRDefault="001400D1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Prioritering som är specifik för ett visst regionförvaltningsverk – ett ämne som behöver prioriteras speciellt i regionen (</w:t>
            </w:r>
            <w:proofErr w:type="gramStart"/>
            <w:r>
              <w:rPr>
                <w:rFonts w:ascii="Calibri" w:hAnsi="Calibri"/>
                <w:color w:val="auto"/>
                <w:sz w:val="18"/>
                <w:szCs w:val="18"/>
              </w:rPr>
              <w:t>t.ex.</w:t>
            </w:r>
            <w:proofErr w:type="gramEnd"/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antibiotikarester i mjölk)</w:t>
            </w:r>
          </w:p>
        </w:tc>
        <w:tc>
          <w:tcPr>
            <w:tcW w:w="1372" w:type="pct"/>
          </w:tcPr>
          <w:p w14:paraId="286290BA" w14:textId="69CA5A4B" w:rsidR="001400D1" w:rsidRPr="00FB579D" w:rsidRDefault="001400D1" w:rsidP="003C0ED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</w:tcPr>
          <w:p w14:paraId="6856E7E0" w14:textId="77777777" w:rsidR="001400D1" w:rsidRPr="00FB579D" w:rsidRDefault="001400D1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690A7CB0" w14:textId="77777777" w:rsidR="001400D1" w:rsidRPr="00FB579D" w:rsidRDefault="001400D1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40A1A" w:rsidRPr="00FB579D" w14:paraId="1C473A73" w14:textId="77777777" w:rsidTr="00240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08E0AFDA" w14:textId="77777777" w:rsidR="001400D1" w:rsidRPr="00FB579D" w:rsidRDefault="001400D1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</w:tcPr>
          <w:p w14:paraId="2EC6F7BE" w14:textId="77777777" w:rsidR="001400D1" w:rsidRPr="00FB579D" w:rsidRDefault="001400D1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72" w:type="pct"/>
          </w:tcPr>
          <w:p w14:paraId="000FCA12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</w:tcPr>
          <w:p w14:paraId="78C7B461" w14:textId="77777777" w:rsidR="001400D1" w:rsidRPr="00FB579D" w:rsidRDefault="001400D1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29" w:type="pct"/>
          </w:tcPr>
          <w:p w14:paraId="205FF503" w14:textId="77777777" w:rsidR="001400D1" w:rsidRPr="00FB579D" w:rsidRDefault="001400D1" w:rsidP="00280B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Åtgärderna som ska vidtas 2024 preciseras senare.</w:t>
            </w:r>
          </w:p>
        </w:tc>
      </w:tr>
    </w:tbl>
    <w:p w14:paraId="739A16C1" w14:textId="77777777" w:rsidR="00026FBF" w:rsidRDefault="00026FBF" w:rsidP="00026FBF"/>
    <w:p w14:paraId="7967E72A" w14:textId="77777777" w:rsidR="00026FBF" w:rsidRDefault="00026FBF" w:rsidP="00026FBF"/>
    <w:p w14:paraId="221C3C9B" w14:textId="77777777" w:rsidR="006377B4" w:rsidRDefault="006377B4"/>
    <w:sectPr w:rsidR="006377B4" w:rsidSect="00026F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A23ED"/>
    <w:multiLevelType w:val="hybridMultilevel"/>
    <w:tmpl w:val="C6D800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E5D58"/>
    <w:multiLevelType w:val="hybridMultilevel"/>
    <w:tmpl w:val="03D675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7E2BE4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BF"/>
    <w:rsid w:val="00026FBF"/>
    <w:rsid w:val="0004267D"/>
    <w:rsid w:val="001400D1"/>
    <w:rsid w:val="00240A1A"/>
    <w:rsid w:val="003C0ED5"/>
    <w:rsid w:val="005D0C24"/>
    <w:rsid w:val="005E5905"/>
    <w:rsid w:val="00614ED0"/>
    <w:rsid w:val="006377B4"/>
    <w:rsid w:val="008800AE"/>
    <w:rsid w:val="009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386E"/>
  <w15:chartTrackingRefBased/>
  <w15:docId w15:val="{C0DE75F4-1A13-4C10-9840-FE245F1D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6FBF"/>
    <w:pPr>
      <w:spacing w:after="0" w:line="240" w:lineRule="auto"/>
    </w:pPr>
    <w:rPr>
      <w:color w:val="000000" w:themeColor="text1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1"/>
    <w:uiPriority w:val="9"/>
    <w:qFormat/>
    <w:rsid w:val="00026FBF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Arial"/>
      <w:bCs/>
      <w:caps/>
      <w:color w:val="44546A" w:themeColor="text2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026FBF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Arial"/>
      <w:bCs/>
      <w:iCs/>
      <w:color w:val="44546A" w:themeColor="text2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26FBF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color w:val="auto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26FB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26FBF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26FBF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26FBF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26FBF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26FBF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026F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26FBF"/>
    <w:rPr>
      <w:rFonts w:ascii="Calibri" w:eastAsia="Times New Roman" w:hAnsi="Calibri" w:cs="Arial"/>
      <w:bCs/>
      <w:iCs/>
      <w:color w:val="44546A" w:themeColor="text2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026FBF"/>
    <w:rPr>
      <w:rFonts w:ascii="Calibri" w:eastAsiaTheme="majorEastAsia" w:hAnsi="Calibri" w:cstheme="majorBidi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026FBF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26FBF"/>
    <w:rPr>
      <w:rFonts w:asciiTheme="majorHAnsi" w:eastAsiaTheme="majorEastAsia" w:hAnsiTheme="majorHAnsi" w:cstheme="majorBidi"/>
      <w:color w:val="1F3763" w:themeColor="accent1" w:themeShade="7F"/>
      <w:szCs w:val="24"/>
      <w:lang w:val="sv-FI"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26FBF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sv-FI"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26FB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FI"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26F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FI"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26F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FI" w:eastAsia="fi-FI"/>
    </w:rPr>
  </w:style>
  <w:style w:type="character" w:customStyle="1" w:styleId="Otsikko1Char1">
    <w:name w:val="Otsikko 1 Char1"/>
    <w:link w:val="Otsikko1"/>
    <w:uiPriority w:val="9"/>
    <w:rsid w:val="00026FBF"/>
    <w:rPr>
      <w:rFonts w:ascii="Calibri" w:eastAsia="Times New Roman" w:hAnsi="Calibri" w:cs="Arial"/>
      <w:bCs/>
      <w:caps/>
      <w:color w:val="44546A" w:themeColor="text2"/>
      <w:kern w:val="32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026FBF"/>
    <w:pPr>
      <w:spacing w:line="276" w:lineRule="auto"/>
      <w:ind w:left="720"/>
      <w:contextualSpacing/>
    </w:pPr>
    <w:rPr>
      <w:color w:val="auto"/>
      <w:sz w:val="22"/>
    </w:rPr>
  </w:style>
  <w:style w:type="table" w:styleId="Ruudukkotaulukko4-korostus5">
    <w:name w:val="Grid Table 4 Accent 5"/>
    <w:basedOn w:val="Normaalitaulukko"/>
    <w:uiPriority w:val="49"/>
    <w:rsid w:val="00026F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Djurens hälsa och välfärd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Djurens hälsa och välfärd</dc:title>
  <dc:subject/>
  <dc:creator>Jauhiainen Katriina (Ruokavirasto)</dc:creator>
  <cp:keywords/>
  <dc:description/>
  <cp:lastModifiedBy>Jestoi Marika (Ruokavirasto)</cp:lastModifiedBy>
  <cp:revision>4</cp:revision>
  <dcterms:created xsi:type="dcterms:W3CDTF">2021-09-29T08:39:00Z</dcterms:created>
  <dcterms:modified xsi:type="dcterms:W3CDTF">2021-09-29T11:07:00Z</dcterms:modified>
</cp:coreProperties>
</file>