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72AF5" w14:textId="1E6CB444" w:rsidR="00E7162C" w:rsidRDefault="0097251E" w:rsidP="00E7162C">
      <w:pPr>
        <w:pStyle w:val="Otsikko1"/>
        <w:numPr>
          <w:ilvl w:val="0"/>
          <w:numId w:val="0"/>
        </w:numPr>
        <w:ind w:left="432" w:hanging="432"/>
      </w:pPr>
      <w:bookmarkStart w:id="0" w:name="_Toc56069593"/>
      <w:r>
        <w:rPr>
          <w:caps w:val="0"/>
        </w:rPr>
        <w:t>Fleråriga nationella tillsynsplanen för livsmedelskedjan 2021–2024</w:t>
      </w:r>
      <w:r>
        <w:rPr>
          <w:caps w:val="0"/>
        </w:rPr>
        <w:br/>
        <w:t>Del 2: Åtgärder för att nå målen för tillsynen – prioriteringar inom tillsynen</w:t>
      </w:r>
      <w:r w:rsidR="007B0D8F">
        <w:rPr>
          <w:caps w:val="0"/>
        </w:rPr>
        <w:t>: uppdatering för år 2022</w:t>
      </w:r>
    </w:p>
    <w:p w14:paraId="5CD7E56C" w14:textId="77777777" w:rsidR="00E7162C" w:rsidRDefault="0097251E" w:rsidP="00E7162C">
      <w:pPr>
        <w:pStyle w:val="Otsikko1"/>
        <w:numPr>
          <w:ilvl w:val="0"/>
          <w:numId w:val="0"/>
        </w:numPr>
        <w:ind w:left="432" w:hanging="432"/>
      </w:pPr>
      <w:r>
        <w:rPr>
          <w:caps w:val="0"/>
        </w:rPr>
        <w:t>Växtproduktion</w:t>
      </w:r>
      <w:bookmarkEnd w:id="0"/>
    </w:p>
    <w:tbl>
      <w:tblPr>
        <w:tblStyle w:val="Ruudukkotaulukko4-korostus5"/>
        <w:tblW w:w="4786" w:type="pct"/>
        <w:tblLook w:val="04A0" w:firstRow="1" w:lastRow="0" w:firstColumn="1" w:lastColumn="0" w:noHBand="0" w:noVBand="1"/>
      </w:tblPr>
      <w:tblGrid>
        <w:gridCol w:w="1949"/>
        <w:gridCol w:w="1617"/>
        <w:gridCol w:w="3801"/>
        <w:gridCol w:w="3542"/>
        <w:gridCol w:w="4113"/>
      </w:tblGrid>
      <w:tr w:rsidR="007B0D8F" w:rsidRPr="002512BA" w14:paraId="4CE4A60E" w14:textId="77777777" w:rsidTr="00423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61895A11" w14:textId="77777777" w:rsidR="007B0D8F" w:rsidRPr="006C21B8" w:rsidRDefault="007B0D8F" w:rsidP="00280B1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UTVECKLINGSTEMA</w:t>
            </w:r>
          </w:p>
        </w:tc>
        <w:tc>
          <w:tcPr>
            <w:tcW w:w="538" w:type="pct"/>
          </w:tcPr>
          <w:p w14:paraId="6D512559" w14:textId="77777777" w:rsidR="007B0D8F" w:rsidRPr="006C21B8" w:rsidRDefault="007B0D8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PRIORITERING</w:t>
            </w:r>
          </w:p>
        </w:tc>
        <w:tc>
          <w:tcPr>
            <w:tcW w:w="1265" w:type="pct"/>
          </w:tcPr>
          <w:p w14:paraId="352CFC8E" w14:textId="77777777" w:rsidR="007B0D8F" w:rsidRPr="006C21B8" w:rsidRDefault="007B0D8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79" w:type="pct"/>
          </w:tcPr>
          <w:p w14:paraId="19E197C6" w14:textId="77777777" w:rsidR="007B0D8F" w:rsidRPr="006C21B8" w:rsidRDefault="007B0D8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369" w:type="pct"/>
          </w:tcPr>
          <w:p w14:paraId="7E8845A4" w14:textId="77777777" w:rsidR="007B0D8F" w:rsidRPr="006C21B8" w:rsidRDefault="007B0D8F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7B0D8F" w:rsidRPr="0039409D" w14:paraId="68F56E3E" w14:textId="77777777" w:rsidTr="0042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7AC33C20" w14:textId="77777777" w:rsidR="007B0D8F" w:rsidRPr="006C21B8" w:rsidRDefault="007B0D8F" w:rsidP="00280B1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Ledning genom information och digitalisering</w:t>
            </w:r>
          </w:p>
        </w:tc>
        <w:tc>
          <w:tcPr>
            <w:tcW w:w="538" w:type="pct"/>
          </w:tcPr>
          <w:p w14:paraId="2EE69E0C" w14:textId="77777777" w:rsidR="007B0D8F" w:rsidRPr="006C21B8" w:rsidRDefault="007B0D8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Tillsyn över utsädesmarknaden</w:t>
            </w:r>
          </w:p>
        </w:tc>
        <w:tc>
          <w:tcPr>
            <w:tcW w:w="1265" w:type="pct"/>
          </w:tcPr>
          <w:p w14:paraId="22EB02CF" w14:textId="215B6B62" w:rsidR="007B0D8F" w:rsidRPr="004235D9" w:rsidRDefault="007B0D8F" w:rsidP="004235D9">
            <w:pPr>
              <w:numPr>
                <w:ilvl w:val="0"/>
                <w:numId w:val="2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informerar, utbildar och instruerar aktörer inom utsädesbranschen i sin region i frågor som berör kraven på marknadsföringen av utsäde/certifierat utsäde. </w:t>
            </w:r>
          </w:p>
        </w:tc>
        <w:tc>
          <w:tcPr>
            <w:tcW w:w="1179" w:type="pct"/>
          </w:tcPr>
          <w:p w14:paraId="655EEE94" w14:textId="4613CD5C" w:rsidR="007B0D8F" w:rsidRPr="004235D9" w:rsidRDefault="007B0D8F" w:rsidP="004235D9">
            <w:pPr>
              <w:numPr>
                <w:ilvl w:val="0"/>
                <w:numId w:val="2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informerar, utbildar och instruerar aktörer inom utsädesbranschen i sin region i frågor som berör kraven på marknadsföringen av utsäde/certifierat utsäde. </w:t>
            </w:r>
          </w:p>
        </w:tc>
        <w:tc>
          <w:tcPr>
            <w:tcW w:w="1369" w:type="pct"/>
          </w:tcPr>
          <w:p w14:paraId="6E1CFBD1" w14:textId="3030C7EB" w:rsidR="007B0D8F" w:rsidRPr="004235D9" w:rsidRDefault="007B0D8F" w:rsidP="004235D9">
            <w:pPr>
              <w:numPr>
                <w:ilvl w:val="0"/>
                <w:numId w:val="2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informerar, utbildar och instruerar aktörer inom utsädesbranschen i sin region i frågor som berör kraven på marknadsföringen av utsäde/certifierat utsäde.</w:t>
            </w:r>
          </w:p>
        </w:tc>
      </w:tr>
      <w:tr w:rsidR="007B0D8F" w:rsidRPr="00C63337" w14:paraId="497B28AF" w14:textId="77777777" w:rsidTr="00423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2A934154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6E3DF034" w14:textId="77777777" w:rsidR="007B0D8F" w:rsidRPr="006C21B8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Flyghavrekontroll</w:t>
            </w:r>
          </w:p>
        </w:tc>
        <w:tc>
          <w:tcPr>
            <w:tcW w:w="1265" w:type="pct"/>
          </w:tcPr>
          <w:p w14:paraId="4F1C216B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utför flyghavretillsyn i samband med åkerövervakning och vid behov annan kompletterande övervakning.</w:t>
            </w:r>
          </w:p>
          <w:p w14:paraId="053ADAB2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säkerställer tillsynen över gårdar med bekämpningsplan för flyghavre</w:t>
            </w:r>
          </w:p>
          <w:p w14:paraId="3DE48374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informerar, utbildar och instruerar vid evenemang för jordbrukare </w:t>
            </w:r>
          </w:p>
          <w:p w14:paraId="3B0ECE90" w14:textId="12249B20" w:rsidR="007B0D8F" w:rsidRPr="004235D9" w:rsidRDefault="007B0D8F" w:rsidP="004235D9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 förändringar som den nya flyghavreförordningen och flyghavreregistret åstadkommit beaktas</w:t>
            </w:r>
          </w:p>
        </w:tc>
        <w:tc>
          <w:tcPr>
            <w:tcW w:w="1179" w:type="pct"/>
          </w:tcPr>
          <w:p w14:paraId="42174CD8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utför flyghavretillsyn i samband med åkerövervakning och vid behov annan kompletterande övervakning.</w:t>
            </w:r>
          </w:p>
          <w:p w14:paraId="12EBCED7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säkerställer tillsynen över gårdar med bekämpningsplan för flyghavre</w:t>
            </w:r>
          </w:p>
          <w:p w14:paraId="7B6AD5CF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informerar, utbildar och instruerar vid evenemang för jordbrukare </w:t>
            </w:r>
          </w:p>
          <w:p w14:paraId="4C995FE2" w14:textId="77777777" w:rsidR="007B0D8F" w:rsidRPr="00773352" w:rsidRDefault="007B0D8F" w:rsidP="00280B10">
            <w:pPr>
              <w:pStyle w:val="Luettelokap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pct"/>
          </w:tcPr>
          <w:p w14:paraId="33003A58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utför flyghavretillsyn i samband med åkerövervakning och vid behov annan kompletterande övervakning.</w:t>
            </w:r>
          </w:p>
          <w:p w14:paraId="2ACB0242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säkerställer tillsynen över gårdar med bekämpningsplan för flyghavre</w:t>
            </w:r>
          </w:p>
          <w:p w14:paraId="492271F9" w14:textId="77777777" w:rsidR="007B0D8F" w:rsidRPr="006C21B8" w:rsidRDefault="007B0D8F" w:rsidP="00E7162C">
            <w:pPr>
              <w:numPr>
                <w:ilvl w:val="0"/>
                <w:numId w:val="3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informerar, utbildar och instruerar vid evenemang för jordbrukare</w:t>
            </w:r>
          </w:p>
        </w:tc>
      </w:tr>
      <w:tr w:rsidR="007B0D8F" w:rsidRPr="00A306A3" w14:paraId="3E193E4E" w14:textId="77777777" w:rsidTr="0042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14D4A981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3D776ADE" w14:textId="77777777" w:rsidR="007B0D8F" w:rsidRPr="006C21B8" w:rsidRDefault="007B0D8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Tillsyn över växtskyddet</w:t>
            </w:r>
          </w:p>
        </w:tc>
        <w:tc>
          <w:tcPr>
            <w:tcW w:w="1265" w:type="pct"/>
          </w:tcPr>
          <w:p w14:paraId="0C2B72A3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Egenkontroll för </w:t>
            </w:r>
            <w:proofErr w:type="spellStart"/>
            <w:r>
              <w:rPr>
                <w:sz w:val="18"/>
                <w:szCs w:val="18"/>
              </w:rPr>
              <w:t>växtpassaktörer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informerar och instruerar aktörer i sin region som behöver växtpass angående kraven på egenkontrollen och uppmuntrar dem att göra upp en frivillig riskhanteringsplan enligt målet nedan</w:t>
            </w:r>
          </w:p>
          <w:p w14:paraId="79D9A0B7" w14:textId="77777777" w:rsidR="007B0D8F" w:rsidRPr="006C21B8" w:rsidRDefault="007B0D8F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plantskolor 20 % </w:t>
            </w:r>
          </w:p>
          <w:p w14:paraId="2CF793F4" w14:textId="77777777" w:rsidR="007B0D8F" w:rsidRDefault="007B0D8F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sommarblommor och krukväxter 50 %</w:t>
            </w:r>
          </w:p>
          <w:p w14:paraId="30F3BAB4" w14:textId="77777777" w:rsidR="007B0D8F" w:rsidRPr="006C21B8" w:rsidRDefault="007B0D8F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plantbutiker 50 %</w:t>
            </w:r>
          </w:p>
        </w:tc>
        <w:tc>
          <w:tcPr>
            <w:tcW w:w="1179" w:type="pct"/>
          </w:tcPr>
          <w:p w14:paraId="114E54AC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Egenkontroll för </w:t>
            </w:r>
            <w:proofErr w:type="spellStart"/>
            <w:r>
              <w:rPr>
                <w:sz w:val="18"/>
                <w:szCs w:val="18"/>
              </w:rPr>
              <w:t>växtpassaktörer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informerar och instruerar aktörer i sin region som behöver växtpass angående kraven på egenkontrollen och uppmuntrar dem att göra upp en frivillig riskhanteringsplan enligt målet nedan</w:t>
            </w:r>
          </w:p>
          <w:p w14:paraId="051316B1" w14:textId="77777777" w:rsidR="007B0D8F" w:rsidRDefault="007B0D8F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plantskolor 20 % </w:t>
            </w:r>
          </w:p>
          <w:p w14:paraId="485A2D5C" w14:textId="77777777" w:rsidR="007B0D8F" w:rsidRDefault="007B0D8F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sommarblommor och krukväxter 50 %</w:t>
            </w:r>
          </w:p>
          <w:p w14:paraId="468B10F1" w14:textId="77777777" w:rsidR="007B0D8F" w:rsidRPr="006C21B8" w:rsidRDefault="007B0D8F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plantbutiker 50 %</w:t>
            </w:r>
          </w:p>
        </w:tc>
        <w:tc>
          <w:tcPr>
            <w:tcW w:w="1369" w:type="pct"/>
          </w:tcPr>
          <w:p w14:paraId="6015C451" w14:textId="77777777" w:rsidR="007B0D8F" w:rsidRPr="004C4EA5" w:rsidRDefault="007B0D8F" w:rsidP="00E7162C">
            <w:pPr>
              <w:pStyle w:val="Luettelokappale"/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Åtgärderna som ska vidtas 2024 preciseras senare</w:t>
            </w:r>
          </w:p>
        </w:tc>
      </w:tr>
      <w:tr w:rsidR="007B0D8F" w:rsidRPr="00C63337" w14:paraId="42DCBC9B" w14:textId="77777777" w:rsidTr="00423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6977F8DF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3A93683E" w14:textId="77777777" w:rsidR="007B0D8F" w:rsidRPr="006C21B8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pct"/>
          </w:tcPr>
          <w:p w14:paraId="218A456C" w14:textId="77777777" w:rsidR="007B0D8F" w:rsidRPr="00FB4E12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instruerar aktörer i sin region angående kraven i den nya växtskyddslagstiftningen under inspektionerna</w:t>
            </w:r>
          </w:p>
        </w:tc>
        <w:tc>
          <w:tcPr>
            <w:tcW w:w="1179" w:type="pct"/>
          </w:tcPr>
          <w:p w14:paraId="5095FAAE" w14:textId="77777777" w:rsidR="007B0D8F" w:rsidRPr="00FB4E12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instruerar aktörer i sin region angående kraven i den nya växtskyddslagstiftningen under inspektionerna</w:t>
            </w:r>
          </w:p>
        </w:tc>
        <w:tc>
          <w:tcPr>
            <w:tcW w:w="1369" w:type="pct"/>
          </w:tcPr>
          <w:p w14:paraId="24BEB2C4" w14:textId="77777777" w:rsidR="007B0D8F" w:rsidRPr="00773352" w:rsidRDefault="007B0D8F" w:rsidP="00280B10">
            <w:pPr>
              <w:pStyle w:val="Luettelokappa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B0D8F" w:rsidRPr="00C63337" w14:paraId="5E35ACC2" w14:textId="77777777" w:rsidTr="0042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293C5104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09FCBD9B" w14:textId="77777777" w:rsidR="007B0D8F" w:rsidRPr="006C21B8" w:rsidRDefault="007B0D8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pct"/>
          </w:tcPr>
          <w:p w14:paraId="3C938362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och </w:t>
            </w:r>
            <w:r>
              <w:rPr>
                <w:b/>
                <w:bCs/>
                <w:sz w:val="18"/>
                <w:szCs w:val="18"/>
              </w:rPr>
              <w:t xml:space="preserve">Tullen </w:t>
            </w:r>
            <w:r>
              <w:rPr>
                <w:sz w:val="18"/>
                <w:szCs w:val="18"/>
              </w:rPr>
              <w:t>samlar in aktörernas respons under inspektionerna och förmedlar den till Livsmedelsverket</w:t>
            </w:r>
          </w:p>
        </w:tc>
        <w:tc>
          <w:tcPr>
            <w:tcW w:w="1179" w:type="pct"/>
          </w:tcPr>
          <w:p w14:paraId="02242730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och </w:t>
            </w:r>
            <w:r>
              <w:rPr>
                <w:b/>
                <w:bCs/>
                <w:sz w:val="18"/>
                <w:szCs w:val="18"/>
              </w:rPr>
              <w:t>Tullen</w:t>
            </w:r>
            <w:r>
              <w:rPr>
                <w:sz w:val="18"/>
                <w:szCs w:val="18"/>
              </w:rPr>
              <w:t xml:space="preserve"> samlar in </w:t>
            </w:r>
            <w:proofErr w:type="spellStart"/>
            <w:r>
              <w:rPr>
                <w:sz w:val="18"/>
                <w:szCs w:val="18"/>
              </w:rPr>
              <w:t>aktörerans</w:t>
            </w:r>
            <w:proofErr w:type="spellEnd"/>
            <w:r>
              <w:rPr>
                <w:sz w:val="18"/>
                <w:szCs w:val="18"/>
              </w:rPr>
              <w:t xml:space="preserve"> respons under inspektionerna och förmedlar den till Livsmedelsverket</w:t>
            </w:r>
          </w:p>
        </w:tc>
        <w:tc>
          <w:tcPr>
            <w:tcW w:w="1369" w:type="pct"/>
          </w:tcPr>
          <w:p w14:paraId="40001515" w14:textId="77777777" w:rsidR="007B0D8F" w:rsidRPr="00773352" w:rsidRDefault="007B0D8F" w:rsidP="00280B10">
            <w:pPr>
              <w:pStyle w:val="Luettelokap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B0D8F" w:rsidRPr="00C63337" w14:paraId="44C8960F" w14:textId="77777777" w:rsidTr="00423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4C316F0F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1F7E7176" w14:textId="77777777" w:rsidR="007B0D8F" w:rsidRPr="006C21B8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pct"/>
          </w:tcPr>
          <w:p w14:paraId="5C3ABF6E" w14:textId="7184D47E" w:rsidR="007B0D8F" w:rsidRPr="00A50799" w:rsidRDefault="00A50799" w:rsidP="00A50799">
            <w:pPr>
              <w:pStyle w:val="Luettelokappal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50799">
              <w:rPr>
                <w:rFonts w:cstheme="minorHAnsi"/>
                <w:b/>
                <w:bCs/>
                <w:sz w:val="18"/>
                <w:szCs w:val="18"/>
              </w:rPr>
              <w:t>Livsmedelsverket</w:t>
            </w:r>
            <w:r>
              <w:rPr>
                <w:rFonts w:cstheme="minorHAnsi"/>
                <w:sz w:val="18"/>
                <w:szCs w:val="18"/>
              </w:rPr>
              <w:t xml:space="preserve"> och </w:t>
            </w:r>
            <w:r w:rsidRPr="00A50799">
              <w:rPr>
                <w:rFonts w:cstheme="minorHAnsi"/>
                <w:b/>
                <w:bCs/>
                <w:sz w:val="18"/>
                <w:szCs w:val="18"/>
              </w:rPr>
              <w:t>Tullen</w:t>
            </w:r>
            <w:r>
              <w:rPr>
                <w:rFonts w:cstheme="minorHAnsi"/>
                <w:sz w:val="18"/>
                <w:szCs w:val="18"/>
              </w:rPr>
              <w:t xml:space="preserve"> deltar i utvecklingen av</w:t>
            </w:r>
            <w:r w:rsidR="00397DF2">
              <w:rPr>
                <w:rFonts w:cstheme="minorHAnsi"/>
                <w:sz w:val="18"/>
                <w:szCs w:val="18"/>
              </w:rPr>
              <w:t xml:space="preserve"> kommissionens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Traces</w:t>
            </w:r>
            <w:proofErr w:type="spellEnd"/>
            <w:r>
              <w:rPr>
                <w:rFonts w:cstheme="minorHAnsi"/>
                <w:sz w:val="18"/>
                <w:szCs w:val="18"/>
              </w:rPr>
              <w:t>-systemet</w:t>
            </w:r>
          </w:p>
        </w:tc>
        <w:tc>
          <w:tcPr>
            <w:tcW w:w="1179" w:type="pct"/>
          </w:tcPr>
          <w:p w14:paraId="54CEC709" w14:textId="77777777" w:rsidR="007B0D8F" w:rsidRPr="006C21B8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pct"/>
          </w:tcPr>
          <w:p w14:paraId="1BB68993" w14:textId="77777777" w:rsidR="007B0D8F" w:rsidRPr="00773352" w:rsidRDefault="007B0D8F" w:rsidP="00280B10">
            <w:pPr>
              <w:pStyle w:val="Luettelokappa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B0D8F" w:rsidRPr="00C63337" w14:paraId="3BABBD16" w14:textId="77777777" w:rsidTr="0042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5E318621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2CF3812C" w14:textId="77777777" w:rsidR="007B0D8F" w:rsidRPr="006C21B8" w:rsidRDefault="007B0D8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pct"/>
          </w:tcPr>
          <w:p w14:paraId="36AB2F57" w14:textId="2BE4E284" w:rsidR="007B0D8F" w:rsidRDefault="00A50799" w:rsidP="00A50799">
            <w:pPr>
              <w:pStyle w:val="Luettelokappal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50799">
              <w:rPr>
                <w:rFonts w:cstheme="minorHAnsi"/>
                <w:b/>
                <w:bCs/>
                <w:sz w:val="18"/>
                <w:szCs w:val="18"/>
              </w:rPr>
              <w:t>Livsmedelsverket</w:t>
            </w:r>
            <w:r>
              <w:rPr>
                <w:rFonts w:cstheme="minorHAnsi"/>
                <w:sz w:val="18"/>
                <w:szCs w:val="18"/>
              </w:rPr>
              <w:t xml:space="preserve"> och </w:t>
            </w:r>
            <w:r w:rsidRPr="00A50799">
              <w:rPr>
                <w:rFonts w:cstheme="minorHAnsi"/>
                <w:b/>
                <w:bCs/>
                <w:sz w:val="18"/>
                <w:szCs w:val="18"/>
              </w:rPr>
              <w:t>Tullen</w:t>
            </w:r>
            <w:r>
              <w:rPr>
                <w:rFonts w:cstheme="minorHAnsi"/>
                <w:sz w:val="18"/>
                <w:szCs w:val="18"/>
              </w:rPr>
              <w:t xml:space="preserve"> värderar utförandet av den nya växtskyddslagstiftningen som gäller </w:t>
            </w:r>
            <w:r w:rsidR="00141A21">
              <w:rPr>
                <w:rFonts w:cstheme="minorHAnsi"/>
                <w:sz w:val="18"/>
                <w:szCs w:val="18"/>
              </w:rPr>
              <w:t>införselk</w:t>
            </w:r>
            <w:r w:rsidR="00397DF2">
              <w:rPr>
                <w:rFonts w:cstheme="minorHAnsi"/>
                <w:sz w:val="18"/>
                <w:szCs w:val="18"/>
              </w:rPr>
              <w:t>ontroll</w:t>
            </w:r>
          </w:p>
          <w:p w14:paraId="0B0EF09E" w14:textId="0A70D9B0" w:rsidR="00A50799" w:rsidRPr="00773352" w:rsidRDefault="00A50799" w:rsidP="00A50799">
            <w:pPr>
              <w:pStyle w:val="Luettelokappal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Livsmedelsverket </w:t>
            </w:r>
            <w:r>
              <w:rPr>
                <w:rFonts w:cstheme="minorHAnsi"/>
                <w:sz w:val="18"/>
                <w:szCs w:val="18"/>
              </w:rPr>
              <w:t xml:space="preserve">och </w:t>
            </w:r>
            <w:r w:rsidRPr="00A50799">
              <w:rPr>
                <w:rFonts w:cstheme="minorHAnsi"/>
                <w:b/>
                <w:bCs/>
                <w:sz w:val="18"/>
                <w:szCs w:val="18"/>
              </w:rPr>
              <w:t>Tullen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41A21">
              <w:rPr>
                <w:rFonts w:cstheme="minorHAnsi"/>
                <w:sz w:val="18"/>
                <w:szCs w:val="18"/>
              </w:rPr>
              <w:t>verkställer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45FFA">
              <w:rPr>
                <w:rFonts w:cstheme="minorHAnsi"/>
                <w:sz w:val="18"/>
                <w:szCs w:val="18"/>
              </w:rPr>
              <w:t xml:space="preserve">en </w:t>
            </w:r>
            <w:r>
              <w:rPr>
                <w:rFonts w:cstheme="minorHAnsi"/>
                <w:sz w:val="18"/>
                <w:szCs w:val="18"/>
              </w:rPr>
              <w:t>kommunikation</w:t>
            </w:r>
            <w:r w:rsidR="00141A21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kampanj </w:t>
            </w:r>
            <w:r w:rsidR="00D45FFA">
              <w:rPr>
                <w:rFonts w:cstheme="minorHAnsi"/>
                <w:sz w:val="18"/>
                <w:szCs w:val="18"/>
              </w:rPr>
              <w:t>för passagerare</w:t>
            </w:r>
            <w:r w:rsidR="00397DF2">
              <w:rPr>
                <w:rFonts w:cstheme="minorHAnsi"/>
                <w:sz w:val="18"/>
                <w:szCs w:val="18"/>
              </w:rPr>
              <w:t xml:space="preserve"> </w:t>
            </w:r>
            <w:r w:rsidR="00D45FFA">
              <w:rPr>
                <w:rFonts w:cstheme="minorHAnsi"/>
                <w:sz w:val="18"/>
                <w:szCs w:val="18"/>
              </w:rPr>
              <w:t>import</w:t>
            </w:r>
          </w:p>
        </w:tc>
        <w:tc>
          <w:tcPr>
            <w:tcW w:w="1179" w:type="pct"/>
          </w:tcPr>
          <w:p w14:paraId="573182F0" w14:textId="77777777" w:rsidR="007B0D8F" w:rsidRPr="00773352" w:rsidRDefault="007B0D8F" w:rsidP="00280B10">
            <w:pPr>
              <w:pStyle w:val="Luettelokap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pct"/>
          </w:tcPr>
          <w:p w14:paraId="21790B1B" w14:textId="77777777" w:rsidR="007B0D8F" w:rsidRPr="00773352" w:rsidRDefault="007B0D8F" w:rsidP="00280B10">
            <w:pPr>
              <w:pStyle w:val="Luettelokappal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B0D8F" w:rsidRPr="00C63337" w14:paraId="6344819F" w14:textId="77777777" w:rsidTr="00423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4681CA43" w14:textId="77777777" w:rsidR="007B0D8F" w:rsidRPr="006C21B8" w:rsidRDefault="007B0D8F" w:rsidP="00280B1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Myndighetssamarbete för bekämpning av bedrägeri</w:t>
            </w:r>
          </w:p>
        </w:tc>
        <w:tc>
          <w:tcPr>
            <w:tcW w:w="538" w:type="pct"/>
          </w:tcPr>
          <w:p w14:paraId="7C393AF0" w14:textId="77777777" w:rsidR="007B0D8F" w:rsidRPr="006C21B8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Marknadskontroll av gödselfabrikat</w:t>
            </w:r>
          </w:p>
        </w:tc>
        <w:tc>
          <w:tcPr>
            <w:tcW w:w="1265" w:type="pct"/>
          </w:tcPr>
          <w:p w14:paraId="4CAC9164" w14:textId="77777777" w:rsidR="007B0D8F" w:rsidRPr="00FB4E12" w:rsidRDefault="007B0D8F" w:rsidP="00E7162C">
            <w:pPr>
              <w:pStyle w:val="Luettelokappal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gör i samband med sin tillsynsverksamhet utredningar av verksamhetsutövare som inte har registrerat sig i aktörsregistret eller vars marknadsföring är suspekt.</w:t>
            </w:r>
          </w:p>
        </w:tc>
        <w:tc>
          <w:tcPr>
            <w:tcW w:w="1179" w:type="pct"/>
          </w:tcPr>
          <w:p w14:paraId="13528C16" w14:textId="77777777" w:rsidR="007B0D8F" w:rsidRPr="00FB4E12" w:rsidRDefault="007B0D8F" w:rsidP="00E7162C">
            <w:pPr>
              <w:pStyle w:val="Luettelokappal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gör i samband med sin tillsynsverksamhet utredningar av verksamhetsutövare som inte har anmält sig till aktörsregistret eller vars marknadsföring är suspekt.</w:t>
            </w:r>
          </w:p>
        </w:tc>
        <w:tc>
          <w:tcPr>
            <w:tcW w:w="1369" w:type="pct"/>
          </w:tcPr>
          <w:p w14:paraId="60D4EAE7" w14:textId="77777777" w:rsidR="007B0D8F" w:rsidRPr="00FB4E12" w:rsidRDefault="007B0D8F" w:rsidP="00E7162C">
            <w:pPr>
              <w:pStyle w:val="Luettelokappal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gör i samband med sin tillsynsverksamhet utredningar av verksamhetsutövare som inte har registrerat sig i aktörsregistret eller vars marknadsföring är suspekt.</w:t>
            </w:r>
          </w:p>
        </w:tc>
      </w:tr>
      <w:tr w:rsidR="007B0D8F" w:rsidRPr="00C63337" w14:paraId="31952C93" w14:textId="77777777" w:rsidTr="0042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562DAB91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311BCEB7" w14:textId="77777777" w:rsidR="007B0D8F" w:rsidRPr="006C21B8" w:rsidRDefault="007B0D8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Tillsyn över utsädesmarknaden</w:t>
            </w:r>
          </w:p>
        </w:tc>
        <w:tc>
          <w:tcPr>
            <w:tcW w:w="1265" w:type="pct"/>
          </w:tcPr>
          <w:p w14:paraId="42F896C8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inriktar tillsynen i synnerhet på minutförsäljningen av sättpotatis och på grönsaksfrön som marknadsförs till konsumenter</w:t>
            </w:r>
          </w:p>
          <w:p w14:paraId="55BD5C68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Säkerställa att aktörsregistret är aktuellt</w:t>
            </w:r>
          </w:p>
        </w:tc>
        <w:tc>
          <w:tcPr>
            <w:tcW w:w="1179" w:type="pct"/>
          </w:tcPr>
          <w:p w14:paraId="5C8EF53F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inriktar tillsynen på en specifik bransch, som avgörs senare</w:t>
            </w:r>
          </w:p>
          <w:p w14:paraId="73634834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Säkerställa att aktörsregistret är aktuellt</w:t>
            </w:r>
          </w:p>
        </w:tc>
        <w:tc>
          <w:tcPr>
            <w:tcW w:w="1369" w:type="pct"/>
          </w:tcPr>
          <w:p w14:paraId="42D5D652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inriktar tillsynen på en specifik bransch, som avgörs senare</w:t>
            </w:r>
          </w:p>
          <w:p w14:paraId="208BE321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Säkerställa att aktörsregistret är aktuellt</w:t>
            </w:r>
          </w:p>
        </w:tc>
      </w:tr>
      <w:tr w:rsidR="007B0D8F" w:rsidRPr="00C63337" w14:paraId="439E76A3" w14:textId="77777777" w:rsidTr="00423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42DBD719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06D7AFCE" w14:textId="77777777" w:rsidR="007B0D8F" w:rsidRPr="006C21B8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Tillsyn över utsädesmarknaden</w:t>
            </w:r>
          </w:p>
        </w:tc>
        <w:tc>
          <w:tcPr>
            <w:tcW w:w="1265" w:type="pct"/>
          </w:tcPr>
          <w:p w14:paraId="1CF94D30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kontrollerar och ingriper i försäljning av icke certifierat utsäde: marknadsföring i olika medier och aktiv utredning</w:t>
            </w:r>
          </w:p>
        </w:tc>
        <w:tc>
          <w:tcPr>
            <w:tcW w:w="1179" w:type="pct"/>
          </w:tcPr>
          <w:p w14:paraId="2312E40F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kontrollerar och ingriper i försäljning av icke certifierat utsäde: marknadsföring i olika medier och aktiv utredning</w:t>
            </w:r>
          </w:p>
        </w:tc>
        <w:tc>
          <w:tcPr>
            <w:tcW w:w="1369" w:type="pct"/>
          </w:tcPr>
          <w:p w14:paraId="26C3E114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kontrollerar och ingriper i försäljning av icke certifierat utsäde: marknadsföring i olika medier och aktiv utredning</w:t>
            </w:r>
          </w:p>
        </w:tc>
      </w:tr>
      <w:tr w:rsidR="007B0D8F" w:rsidRPr="00C63337" w14:paraId="110D1EEC" w14:textId="77777777" w:rsidTr="0042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313A11CC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1BC99CFF" w14:textId="77777777" w:rsidR="007B0D8F" w:rsidRPr="006C21B8" w:rsidRDefault="007B0D8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Tillsyn över växtskyddet</w:t>
            </w:r>
          </w:p>
        </w:tc>
        <w:tc>
          <w:tcPr>
            <w:tcW w:w="1265" w:type="pct"/>
          </w:tcPr>
          <w:p w14:paraId="1C3060C4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gör i samband med sin tillsynsverksamhet utredningar av verksamhetsutövare som inte har registrerat sig i växtskyddsregistret</w:t>
            </w:r>
          </w:p>
        </w:tc>
        <w:tc>
          <w:tcPr>
            <w:tcW w:w="1179" w:type="pct"/>
          </w:tcPr>
          <w:p w14:paraId="06FCFB4D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NTM-centralerna</w:t>
            </w:r>
            <w:r>
              <w:rPr>
                <w:sz w:val="18"/>
                <w:szCs w:val="18"/>
              </w:rPr>
              <w:t xml:space="preserve"> gör i samband med sin tillsynsverksamhet utredningar av verksamhetsutövare som inte har registrerat sig i växtskyddsregistret</w:t>
            </w:r>
          </w:p>
        </w:tc>
        <w:tc>
          <w:tcPr>
            <w:tcW w:w="1369" w:type="pct"/>
          </w:tcPr>
          <w:p w14:paraId="32416003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Åtgärderna som ska vidtas 2024 preciseras senare</w:t>
            </w:r>
          </w:p>
        </w:tc>
      </w:tr>
      <w:tr w:rsidR="007B0D8F" w:rsidRPr="00C63337" w14:paraId="116EFE50" w14:textId="77777777" w:rsidTr="00423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3F67F051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117B3031" w14:textId="77777777" w:rsidR="007B0D8F" w:rsidRPr="006C21B8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pct"/>
          </w:tcPr>
          <w:p w14:paraId="666C6D00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Myndighetssamarbete inom införselkontroll </w:t>
            </w:r>
            <w:r>
              <w:rPr>
                <w:b/>
                <w:bCs/>
                <w:sz w:val="18"/>
                <w:szCs w:val="18"/>
              </w:rPr>
              <w:t>Tullen</w:t>
            </w:r>
            <w:r>
              <w:rPr>
                <w:sz w:val="18"/>
                <w:szCs w:val="18"/>
              </w:rPr>
              <w:t xml:space="preserve"> och </w:t>
            </w:r>
            <w:r>
              <w:rPr>
                <w:b/>
                <w:bCs/>
                <w:sz w:val="18"/>
                <w:szCs w:val="18"/>
              </w:rPr>
              <w:t xml:space="preserve">Livsmedelsverket </w:t>
            </w:r>
            <w:r>
              <w:rPr>
                <w:sz w:val="18"/>
                <w:szCs w:val="18"/>
              </w:rPr>
              <w:t>byter information om aktörer vars verksamhet är suspekt.</w:t>
            </w:r>
          </w:p>
        </w:tc>
        <w:tc>
          <w:tcPr>
            <w:tcW w:w="1179" w:type="pct"/>
          </w:tcPr>
          <w:p w14:paraId="689E75D6" w14:textId="77777777" w:rsidR="007B0D8F" w:rsidRPr="006C21B8" w:rsidRDefault="007B0D8F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Myndighetssamarbete inom införselkontroll: </w:t>
            </w:r>
            <w:r>
              <w:rPr>
                <w:b/>
                <w:bCs/>
                <w:sz w:val="18"/>
                <w:szCs w:val="18"/>
              </w:rPr>
              <w:t xml:space="preserve">Tullen </w:t>
            </w:r>
            <w:r>
              <w:rPr>
                <w:sz w:val="18"/>
                <w:szCs w:val="18"/>
              </w:rPr>
              <w:t xml:space="preserve">och </w:t>
            </w:r>
            <w:r>
              <w:rPr>
                <w:b/>
                <w:bCs/>
                <w:sz w:val="18"/>
                <w:szCs w:val="18"/>
              </w:rPr>
              <w:t>Livsmedelsverket</w:t>
            </w:r>
            <w:r>
              <w:rPr>
                <w:sz w:val="18"/>
                <w:szCs w:val="18"/>
              </w:rPr>
              <w:t xml:space="preserve"> byter information om aktörer vars verksamhet är suspekt.</w:t>
            </w:r>
          </w:p>
        </w:tc>
        <w:tc>
          <w:tcPr>
            <w:tcW w:w="1369" w:type="pct"/>
          </w:tcPr>
          <w:p w14:paraId="221B6E9B" w14:textId="77777777" w:rsidR="007B0D8F" w:rsidRPr="004C4EA5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B0D8F" w:rsidRPr="00C63337" w14:paraId="618102AC" w14:textId="77777777" w:rsidTr="0042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6A1EF9E8" w14:textId="77777777" w:rsidR="007B0D8F" w:rsidRPr="006C21B8" w:rsidRDefault="007B0D8F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" w:type="pct"/>
          </w:tcPr>
          <w:p w14:paraId="416637FC" w14:textId="77777777" w:rsidR="007B0D8F" w:rsidRPr="006C21B8" w:rsidRDefault="007B0D8F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pct"/>
          </w:tcPr>
          <w:p w14:paraId="598BF56B" w14:textId="77777777" w:rsidR="007B0D8F" w:rsidRPr="00773352" w:rsidRDefault="007B0D8F" w:rsidP="00280B10">
            <w:pPr>
              <w:pStyle w:val="Luettelokappal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pct"/>
          </w:tcPr>
          <w:p w14:paraId="6952F6F7" w14:textId="77777777" w:rsidR="007B0D8F" w:rsidRPr="00773352" w:rsidRDefault="007B0D8F" w:rsidP="00280B10">
            <w:pPr>
              <w:pStyle w:val="Luettelokappal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9" w:type="pct"/>
          </w:tcPr>
          <w:p w14:paraId="2ED94D8E" w14:textId="77777777" w:rsidR="007B0D8F" w:rsidRPr="00773352" w:rsidRDefault="007B0D8F" w:rsidP="00280B10">
            <w:pPr>
              <w:pStyle w:val="Luettelokappal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B0D8F" w:rsidRPr="00C63337" w14:paraId="76307207" w14:textId="77777777" w:rsidTr="00423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pct"/>
          </w:tcPr>
          <w:p w14:paraId="2D506244" w14:textId="77777777" w:rsidR="007B0D8F" w:rsidRPr="006C21B8" w:rsidRDefault="007B0D8F" w:rsidP="00280B1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Beredskap och krishantering</w:t>
            </w:r>
          </w:p>
        </w:tc>
        <w:tc>
          <w:tcPr>
            <w:tcW w:w="538" w:type="pct"/>
          </w:tcPr>
          <w:p w14:paraId="7FD6A61D" w14:textId="77777777" w:rsidR="007B0D8F" w:rsidRPr="006C21B8" w:rsidRDefault="007B0D8F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Tillsyn över växtskyddet</w:t>
            </w:r>
          </w:p>
        </w:tc>
        <w:tc>
          <w:tcPr>
            <w:tcW w:w="1265" w:type="pct"/>
          </w:tcPr>
          <w:p w14:paraId="6DC17E71" w14:textId="77777777" w:rsidR="007B0D8F" w:rsidRDefault="007B0D8F" w:rsidP="00E7162C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Livsmedelsverket</w:t>
            </w:r>
            <w:r>
              <w:rPr>
                <w:sz w:val="18"/>
                <w:szCs w:val="18"/>
              </w:rPr>
              <w:t xml:space="preserve"> gör upp beredskapsplaner för prioriterade skadegörare </w:t>
            </w:r>
          </w:p>
          <w:p w14:paraId="331CA5D2" w14:textId="77777777" w:rsidR="007B0D8F" w:rsidRPr="004C4EA5" w:rsidRDefault="007B0D8F" w:rsidP="00E7162C">
            <w:pPr>
              <w:pStyle w:val="Luettelokappale"/>
              <w:numPr>
                <w:ilvl w:val="1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NTM-centralens</w:t>
            </w:r>
            <w:r>
              <w:rPr>
                <w:sz w:val="18"/>
                <w:szCs w:val="18"/>
              </w:rPr>
              <w:t xml:space="preserve"> inspektörer och </w:t>
            </w:r>
            <w:r>
              <w:rPr>
                <w:b/>
                <w:bCs/>
                <w:sz w:val="18"/>
                <w:szCs w:val="18"/>
              </w:rPr>
              <w:t xml:space="preserve">Tullen </w:t>
            </w:r>
            <w:r>
              <w:rPr>
                <w:sz w:val="18"/>
                <w:szCs w:val="18"/>
              </w:rPr>
              <w:t>kommenterar beredskapsplanerna</w:t>
            </w:r>
          </w:p>
        </w:tc>
        <w:tc>
          <w:tcPr>
            <w:tcW w:w="1179" w:type="pct"/>
          </w:tcPr>
          <w:p w14:paraId="6D122B00" w14:textId="77777777" w:rsidR="007B0D8F" w:rsidRPr="006C21B8" w:rsidRDefault="007B0D8F" w:rsidP="00E7162C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Livsmedelsverket</w:t>
            </w:r>
            <w:r>
              <w:rPr>
                <w:sz w:val="18"/>
                <w:szCs w:val="18"/>
              </w:rPr>
              <w:t xml:space="preserve"> planerar och ordnar en beredskapsövning</w:t>
            </w:r>
          </w:p>
          <w:p w14:paraId="6D08844D" w14:textId="77777777" w:rsidR="007B0D8F" w:rsidRPr="00FB4E12" w:rsidRDefault="007B0D8F" w:rsidP="00280B10">
            <w:pPr>
              <w:pStyle w:val="Luettelokap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NTM-centralens</w:t>
            </w:r>
            <w:r>
              <w:rPr>
                <w:sz w:val="18"/>
                <w:szCs w:val="18"/>
              </w:rPr>
              <w:t xml:space="preserve"> inspektörer och </w:t>
            </w:r>
            <w:r>
              <w:rPr>
                <w:b/>
                <w:bCs/>
                <w:sz w:val="18"/>
                <w:szCs w:val="18"/>
              </w:rPr>
              <w:t>Tullen</w:t>
            </w:r>
            <w:r>
              <w:rPr>
                <w:sz w:val="18"/>
                <w:szCs w:val="18"/>
              </w:rPr>
              <w:t xml:space="preserve"> deltar i övningen </w:t>
            </w:r>
          </w:p>
        </w:tc>
        <w:tc>
          <w:tcPr>
            <w:tcW w:w="1369" w:type="pct"/>
          </w:tcPr>
          <w:p w14:paraId="7AC86DFD" w14:textId="77777777" w:rsidR="007B0D8F" w:rsidRPr="006C21B8" w:rsidRDefault="007B0D8F" w:rsidP="00E7162C">
            <w:pPr>
              <w:pStyle w:val="Luettelokappal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Åtgärderna som ska vidtas 2024 preciseras senare</w:t>
            </w:r>
          </w:p>
        </w:tc>
      </w:tr>
    </w:tbl>
    <w:p w14:paraId="3B935EC5" w14:textId="77777777" w:rsidR="00E7162C" w:rsidRPr="006C21B8" w:rsidRDefault="00E7162C" w:rsidP="00E7162C"/>
    <w:p w14:paraId="1FA77885" w14:textId="77777777" w:rsidR="006377B4" w:rsidRDefault="006377B4"/>
    <w:sectPr w:rsidR="006377B4" w:rsidSect="008C275E">
      <w:footerReference w:type="default" r:id="rId7"/>
      <w:pgSz w:w="16838" w:h="11906" w:orient="landscape" w:code="9"/>
      <w:pgMar w:top="1134" w:right="567" w:bottom="1134" w:left="56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F96D7" w14:textId="77777777" w:rsidR="00301F33" w:rsidRDefault="00E10380">
      <w:r>
        <w:separator/>
      </w:r>
    </w:p>
  </w:endnote>
  <w:endnote w:type="continuationSeparator" w:id="0">
    <w:p w14:paraId="6F1096C2" w14:textId="77777777" w:rsidR="00301F33" w:rsidRDefault="00E1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BD9E" w14:textId="77777777" w:rsidR="00E86F9C" w:rsidRDefault="004235D9" w:rsidP="00802334">
    <w:pPr>
      <w:pStyle w:val="Alatunniste"/>
    </w:pPr>
  </w:p>
  <w:p w14:paraId="5EE2212D" w14:textId="77777777" w:rsidR="00E86F9C" w:rsidRDefault="004235D9" w:rsidP="00802334">
    <w:pPr>
      <w:pStyle w:val="Alatunniste"/>
    </w:pPr>
  </w:p>
  <w:p w14:paraId="241FB6D5" w14:textId="77777777" w:rsidR="00E86F9C" w:rsidRDefault="004235D9" w:rsidP="00802334">
    <w:pPr>
      <w:pStyle w:val="Alatunniste"/>
    </w:pPr>
  </w:p>
  <w:p w14:paraId="6FB5CA0A" w14:textId="5486E13A" w:rsidR="00E86F9C" w:rsidRDefault="00E7162C" w:rsidP="000469C9">
    <w:pPr>
      <w:pStyle w:val="Alatunnis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773352"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 w:rsidR="00773352">
        <w:rPr>
          <w:noProof/>
        </w:rPr>
        <w:t>4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4C46" w14:textId="77777777" w:rsidR="00301F33" w:rsidRDefault="00E10380">
      <w:r>
        <w:separator/>
      </w:r>
    </w:p>
  </w:footnote>
  <w:footnote w:type="continuationSeparator" w:id="0">
    <w:p w14:paraId="18F1DF89" w14:textId="77777777" w:rsidR="00301F33" w:rsidRDefault="00E1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773FB"/>
    <w:multiLevelType w:val="hybridMultilevel"/>
    <w:tmpl w:val="02409C94"/>
    <w:lvl w:ilvl="0" w:tplc="CBE47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914786"/>
    <w:multiLevelType w:val="hybridMultilevel"/>
    <w:tmpl w:val="3E8E4D7C"/>
    <w:lvl w:ilvl="0" w:tplc="F3EC3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FC4844"/>
    <w:multiLevelType w:val="hybridMultilevel"/>
    <w:tmpl w:val="3B5A45E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B7D92"/>
    <w:multiLevelType w:val="hybridMultilevel"/>
    <w:tmpl w:val="2A1A6B9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7E2BE4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7693C26"/>
    <w:multiLevelType w:val="hybridMultilevel"/>
    <w:tmpl w:val="66EE36E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D7460F"/>
    <w:multiLevelType w:val="hybridMultilevel"/>
    <w:tmpl w:val="FBD26B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2C"/>
    <w:rsid w:val="00141A21"/>
    <w:rsid w:val="00301F33"/>
    <w:rsid w:val="00397DF2"/>
    <w:rsid w:val="004235D9"/>
    <w:rsid w:val="006377B4"/>
    <w:rsid w:val="00773352"/>
    <w:rsid w:val="007B0D8F"/>
    <w:rsid w:val="0097251E"/>
    <w:rsid w:val="00A50799"/>
    <w:rsid w:val="00D45FFA"/>
    <w:rsid w:val="00E10380"/>
    <w:rsid w:val="00E7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338F"/>
  <w15:chartTrackingRefBased/>
  <w15:docId w15:val="{494E13E4-0CCF-475D-A906-5069336B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7162C"/>
    <w:pPr>
      <w:spacing w:after="0" w:line="240" w:lineRule="auto"/>
    </w:pPr>
    <w:rPr>
      <w:color w:val="000000" w:themeColor="text1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1"/>
    <w:uiPriority w:val="9"/>
    <w:qFormat/>
    <w:rsid w:val="00E7162C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Arial"/>
      <w:bCs/>
      <w:caps/>
      <w:color w:val="44546A" w:themeColor="text2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E7162C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Arial"/>
      <w:bCs/>
      <w:iCs/>
      <w:color w:val="44546A" w:themeColor="text2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7162C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color w:val="auto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7162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7162C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7162C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7162C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7162C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7162C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E716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E7162C"/>
    <w:rPr>
      <w:rFonts w:ascii="Calibri" w:eastAsia="Times New Roman" w:hAnsi="Calibri" w:cs="Arial"/>
      <w:bCs/>
      <w:iCs/>
      <w:color w:val="44546A" w:themeColor="text2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E7162C"/>
    <w:rPr>
      <w:rFonts w:ascii="Calibri" w:eastAsiaTheme="majorEastAsia" w:hAnsi="Calibri" w:cstheme="majorBidi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E7162C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7162C"/>
    <w:rPr>
      <w:rFonts w:asciiTheme="majorHAnsi" w:eastAsiaTheme="majorEastAsia" w:hAnsiTheme="majorHAnsi" w:cstheme="majorBidi"/>
      <w:color w:val="1F3763" w:themeColor="accent1" w:themeShade="7F"/>
      <w:szCs w:val="24"/>
      <w:lang w:val="sv-FI"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7162C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sv-FI"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7162C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FI"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716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FI"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716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FI" w:eastAsia="fi-FI"/>
    </w:rPr>
  </w:style>
  <w:style w:type="paragraph" w:styleId="Alatunniste">
    <w:name w:val="footer"/>
    <w:basedOn w:val="Normaali"/>
    <w:link w:val="AlatunnisteChar"/>
    <w:uiPriority w:val="99"/>
    <w:qFormat/>
    <w:rsid w:val="00E7162C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7162C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Yltunniste">
    <w:name w:val="header"/>
    <w:basedOn w:val="Normaali"/>
    <w:next w:val="Normaali"/>
    <w:link w:val="YltunnisteChar"/>
    <w:autoRedefine/>
    <w:uiPriority w:val="99"/>
    <w:qFormat/>
    <w:rsid w:val="00E7162C"/>
    <w:pPr>
      <w:tabs>
        <w:tab w:val="center" w:pos="4819"/>
        <w:tab w:val="right" w:pos="9638"/>
      </w:tabs>
      <w:jc w:val="right"/>
    </w:pPr>
    <w:rPr>
      <w:rFonts w:ascii="Calibri" w:hAnsi="Calibri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E7162C"/>
    <w:rPr>
      <w:rFonts w:ascii="Calibri" w:hAnsi="Calibri" w:cs="Times New Roman"/>
      <w:color w:val="000000" w:themeColor="text1"/>
      <w:sz w:val="24"/>
      <w:szCs w:val="24"/>
      <w:lang w:eastAsia="fi-FI"/>
    </w:rPr>
  </w:style>
  <w:style w:type="character" w:customStyle="1" w:styleId="Otsikko1Char1">
    <w:name w:val="Otsikko 1 Char1"/>
    <w:link w:val="Otsikko1"/>
    <w:uiPriority w:val="9"/>
    <w:rsid w:val="00E7162C"/>
    <w:rPr>
      <w:rFonts w:ascii="Calibri" w:eastAsia="Times New Roman" w:hAnsi="Calibri" w:cs="Arial"/>
      <w:bCs/>
      <w:caps/>
      <w:color w:val="44546A" w:themeColor="text2"/>
      <w:kern w:val="32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E7162C"/>
    <w:pPr>
      <w:spacing w:line="276" w:lineRule="auto"/>
      <w:ind w:left="720"/>
      <w:contextualSpacing/>
    </w:pPr>
    <w:rPr>
      <w:color w:val="auto"/>
      <w:sz w:val="22"/>
    </w:rPr>
  </w:style>
  <w:style w:type="table" w:styleId="Ruudukkotaulukko4-korostus5">
    <w:name w:val="Grid Table 4 Accent 5"/>
    <w:basedOn w:val="Normaalitaulukko"/>
    <w:uiPriority w:val="49"/>
    <w:rsid w:val="00E716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Valvonnan painopisteet: kasvintuotanto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Valvonnan painopisteet: kasvintuotanto</dc:title>
  <dc:subject/>
  <dc:creator>Jauhiainen Katriina (Ruokavirasto)</dc:creator>
  <cp:keywords/>
  <dc:description/>
  <cp:lastModifiedBy>Jestoi Marika (Ruokavirasto)</cp:lastModifiedBy>
  <cp:revision>8</cp:revision>
  <cp:lastPrinted>2020-11-25T12:14:00Z</cp:lastPrinted>
  <dcterms:created xsi:type="dcterms:W3CDTF">2020-11-24T12:47:00Z</dcterms:created>
  <dcterms:modified xsi:type="dcterms:W3CDTF">2021-09-29T14:38:00Z</dcterms:modified>
</cp:coreProperties>
</file>